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DD8E" w14:textId="3CDFB0B7" w:rsidR="0045631A" w:rsidRDefault="0045631A" w:rsidP="0069655E">
      <w:pPr>
        <w:spacing w:line="240" w:lineRule="exact"/>
        <w:jc w:val="center"/>
        <w:rPr>
          <w:rFonts w:cs="Times New Roman TUR"/>
          <w:b/>
          <w:bCs/>
        </w:rPr>
      </w:pPr>
    </w:p>
    <w:p w14:paraId="045FA726" w14:textId="77777777" w:rsidR="0045631A" w:rsidRDefault="0045631A" w:rsidP="0069655E">
      <w:pPr>
        <w:spacing w:line="240" w:lineRule="exact"/>
        <w:jc w:val="center"/>
        <w:rPr>
          <w:rFonts w:cs="Times New Roman TUR"/>
          <w:b/>
          <w:bCs/>
        </w:rPr>
      </w:pPr>
    </w:p>
    <w:p w14:paraId="3A0E00F2" w14:textId="1C58591E" w:rsidR="0069655E" w:rsidRPr="0045631A" w:rsidRDefault="007615AB" w:rsidP="0069655E">
      <w:pPr>
        <w:spacing w:line="240" w:lineRule="exact"/>
        <w:jc w:val="center"/>
        <w:rPr>
          <w:rFonts w:cs="Times New Roman TUR"/>
          <w:b/>
          <w:bCs/>
          <w:sz w:val="28"/>
          <w:szCs w:val="28"/>
        </w:rPr>
      </w:pPr>
      <w:r w:rsidRPr="0045631A">
        <w:rPr>
          <w:rFonts w:cs="Times New Roman TUR"/>
          <w:b/>
          <w:bCs/>
          <w:sz w:val="28"/>
          <w:szCs w:val="28"/>
        </w:rPr>
        <w:t>Robert T. Anderson</w:t>
      </w:r>
    </w:p>
    <w:p w14:paraId="52A88B24" w14:textId="77777777" w:rsidR="0045631A" w:rsidRPr="002A78A5" w:rsidRDefault="0045631A" w:rsidP="0069655E">
      <w:pPr>
        <w:spacing w:line="240" w:lineRule="exact"/>
        <w:jc w:val="center"/>
        <w:rPr>
          <w:rFonts w:cs="Times New Roman TUR"/>
          <w:b/>
          <w:bCs/>
        </w:rPr>
      </w:pPr>
    </w:p>
    <w:p w14:paraId="78189DAD" w14:textId="77777777" w:rsidR="00966E87" w:rsidRDefault="00966E87">
      <w:pPr>
        <w:spacing w:line="240" w:lineRule="exact"/>
        <w:rPr>
          <w:rFonts w:cs="Times New Roman TUR"/>
          <w:b/>
          <w:i/>
          <w:iCs/>
          <w:smallCaps/>
        </w:rPr>
      </w:pPr>
    </w:p>
    <w:p w14:paraId="1AA0D5EA" w14:textId="608CF943" w:rsidR="007B1A26" w:rsidRDefault="007B1A26">
      <w:pPr>
        <w:spacing w:line="240" w:lineRule="exact"/>
      </w:pPr>
      <w:r>
        <w:t xml:space="preserve">Harvard Law School, Oneida Nation Visiting Professor of Law, </w:t>
      </w:r>
      <w:r w:rsidR="00CF5DC6">
        <w:t xml:space="preserve">July </w:t>
      </w:r>
      <w:r>
        <w:t>202</w:t>
      </w:r>
      <w:r w:rsidR="00CF5DC6">
        <w:t>5</w:t>
      </w:r>
      <w:r>
        <w:t xml:space="preserve"> – present</w:t>
      </w:r>
      <w:r w:rsidR="00CF5DC6">
        <w:t>.</w:t>
      </w:r>
    </w:p>
    <w:p w14:paraId="3D5829B7" w14:textId="48CA0F69" w:rsidR="007B1A26" w:rsidRPr="007B1A26" w:rsidRDefault="007B1A26" w:rsidP="007B1A26">
      <w:pPr>
        <w:spacing w:before="240"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Professor</w:t>
      </w:r>
      <w:r>
        <w:rPr>
          <w:rFonts w:cs="Times New Roman TUR"/>
          <w:iCs/>
        </w:rPr>
        <w:t xml:space="preserve"> of Law, Emeritus, </w:t>
      </w:r>
      <w:r w:rsidRPr="00A12F50">
        <w:rPr>
          <w:rFonts w:cs="Times New Roman TUR"/>
          <w:iCs/>
        </w:rPr>
        <w:t>University of Washington School of Law</w:t>
      </w:r>
      <w:r>
        <w:rPr>
          <w:rFonts w:cs="Times New Roman TUR"/>
          <w:iCs/>
        </w:rPr>
        <w:t xml:space="preserve">. </w:t>
      </w:r>
    </w:p>
    <w:p w14:paraId="1750BCDC" w14:textId="6E34FC93" w:rsidR="001D0B6C" w:rsidRDefault="001D0B6C" w:rsidP="007B4755">
      <w:pPr>
        <w:spacing w:before="240" w:line="240" w:lineRule="exact"/>
        <w:rPr>
          <w:rFonts w:cs="Times New Roman TUR"/>
          <w:bCs/>
          <w:iCs/>
        </w:rPr>
      </w:pPr>
      <w:r>
        <w:rPr>
          <w:rFonts w:cs="Times New Roman TUR"/>
          <w:bCs/>
          <w:iCs/>
        </w:rPr>
        <w:t xml:space="preserve">Solicitor, </w:t>
      </w:r>
      <w:r w:rsidRPr="00CB032F">
        <w:rPr>
          <w:rFonts w:cs="Times New Roman TUR"/>
          <w:bCs/>
          <w:iCs/>
        </w:rPr>
        <w:t>U.S. Dep</w:t>
      </w:r>
      <w:r w:rsidR="00BC72C7">
        <w:rPr>
          <w:rFonts w:cs="Times New Roman TUR"/>
          <w:bCs/>
          <w:iCs/>
        </w:rPr>
        <w:t>artmen</w:t>
      </w:r>
      <w:r w:rsidRPr="00CB032F">
        <w:rPr>
          <w:rFonts w:cs="Times New Roman TUR"/>
          <w:bCs/>
          <w:iCs/>
        </w:rPr>
        <w:t>t of the Interior</w:t>
      </w:r>
      <w:r>
        <w:rPr>
          <w:rFonts w:cs="Times New Roman TUR"/>
          <w:bCs/>
          <w:iCs/>
        </w:rPr>
        <w:t>, Washington D.C.</w:t>
      </w:r>
      <w:r w:rsidR="00BC72C7">
        <w:rPr>
          <w:rFonts w:cs="Times New Roman TUR"/>
          <w:bCs/>
          <w:iCs/>
        </w:rPr>
        <w:t>,</w:t>
      </w:r>
      <w:r>
        <w:rPr>
          <w:rFonts w:cs="Times New Roman TUR"/>
          <w:bCs/>
          <w:iCs/>
        </w:rPr>
        <w:t xml:space="preserve"> 2021 </w:t>
      </w:r>
      <w:r w:rsidR="00CF5DC6">
        <w:rPr>
          <w:rFonts w:cs="Times New Roman TUR"/>
          <w:bCs/>
          <w:iCs/>
        </w:rPr>
        <w:t>–</w:t>
      </w:r>
      <w:r>
        <w:rPr>
          <w:rFonts w:cs="Times New Roman TUR"/>
          <w:bCs/>
          <w:iCs/>
        </w:rPr>
        <w:t xml:space="preserve"> </w:t>
      </w:r>
      <w:r w:rsidR="003A5780">
        <w:rPr>
          <w:rFonts w:cs="Times New Roman TUR"/>
          <w:bCs/>
          <w:iCs/>
        </w:rPr>
        <w:t>2025</w:t>
      </w:r>
      <w:r w:rsidR="00CF5DC6">
        <w:rPr>
          <w:rFonts w:cs="Times New Roman TUR"/>
          <w:bCs/>
          <w:iCs/>
        </w:rPr>
        <w:t>.</w:t>
      </w:r>
    </w:p>
    <w:p w14:paraId="79C08A2B" w14:textId="496C48D1" w:rsidR="00CB032F" w:rsidRPr="00CF5DC6" w:rsidRDefault="007B1A26" w:rsidP="00CB032F">
      <w:pPr>
        <w:spacing w:before="240" w:line="240" w:lineRule="exact"/>
        <w:rPr>
          <w:rFonts w:cs="Times New Roman TUR"/>
          <w:b/>
          <w:iCs/>
          <w:sz w:val="26"/>
          <w:szCs w:val="26"/>
        </w:rPr>
      </w:pPr>
      <w:r w:rsidRPr="00CF5DC6">
        <w:rPr>
          <w:rFonts w:cs="Times New Roman TUR"/>
          <w:b/>
          <w:iCs/>
          <w:sz w:val="26"/>
          <w:szCs w:val="26"/>
        </w:rPr>
        <w:t xml:space="preserve">Prior </w:t>
      </w:r>
      <w:r w:rsidR="00CB032F" w:rsidRPr="00CF5DC6">
        <w:rPr>
          <w:rFonts w:cs="Times New Roman TUR"/>
          <w:b/>
          <w:iCs/>
          <w:sz w:val="26"/>
          <w:szCs w:val="26"/>
        </w:rPr>
        <w:t>Academic Appointments</w:t>
      </w:r>
    </w:p>
    <w:p w14:paraId="11D56321" w14:textId="46B2E2EA" w:rsidR="00DF42BE" w:rsidRDefault="00DF42BE" w:rsidP="00DF42BE">
      <w:pPr>
        <w:pStyle w:val="BodyTextIndent2"/>
        <w:spacing w:before="240"/>
        <w:ind w:left="0"/>
      </w:pPr>
      <w:r>
        <w:t>Harvard Law School, Oneida Nation Visiting Professor of Law, 2009</w:t>
      </w:r>
      <w:r w:rsidR="00CB032F">
        <w:t>-2021</w:t>
      </w:r>
      <w:r>
        <w:t xml:space="preserve">; annual visitor appointment; teaching one </w:t>
      </w:r>
      <w:r w:rsidR="008A5C19">
        <w:t>semester</w:t>
      </w:r>
      <w:r>
        <w:t xml:space="preserve"> per year.</w:t>
      </w:r>
    </w:p>
    <w:p w14:paraId="7B1BA9D5" w14:textId="18BDDA58" w:rsidR="00DF42BE" w:rsidRDefault="00DF42BE" w:rsidP="00DF42BE">
      <w:pPr>
        <w:spacing w:before="240" w:line="240" w:lineRule="exact"/>
        <w:rPr>
          <w:rFonts w:cs="Times New Roman TUR"/>
          <w:iCs/>
        </w:rPr>
      </w:pPr>
      <w:r>
        <w:rPr>
          <w:rFonts w:cs="Times New Roman TUR"/>
          <w:iCs/>
        </w:rPr>
        <w:t>Visiting Professor of Law, Spring  2020, University of Colorado School of Law, Boulder, CO.</w:t>
      </w:r>
    </w:p>
    <w:p w14:paraId="39B0960F" w14:textId="283706EC" w:rsidR="0069655E" w:rsidRDefault="007615AB" w:rsidP="007B4755">
      <w:pPr>
        <w:spacing w:before="240"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Professor</w:t>
      </w:r>
      <w:r>
        <w:rPr>
          <w:rFonts w:cs="Times New Roman TUR"/>
          <w:iCs/>
        </w:rPr>
        <w:t xml:space="preserve"> of Law, and</w:t>
      </w:r>
      <w:r w:rsidRPr="00A12F50">
        <w:rPr>
          <w:rFonts w:cs="Times New Roman TUR"/>
          <w:iCs/>
        </w:rPr>
        <w:t xml:space="preserve"> Director, Native American Law Center</w:t>
      </w:r>
      <w:r>
        <w:rPr>
          <w:rFonts w:cs="Times New Roman TUR"/>
          <w:iCs/>
        </w:rPr>
        <w:t xml:space="preserve">, </w:t>
      </w:r>
      <w:r w:rsidRPr="00A12F50">
        <w:rPr>
          <w:rFonts w:cs="Times New Roman TUR"/>
          <w:iCs/>
        </w:rPr>
        <w:t>University of Washington School of Law</w:t>
      </w:r>
      <w:r w:rsidR="00DF42BE">
        <w:rPr>
          <w:rFonts w:cs="Times New Roman TUR"/>
          <w:iCs/>
        </w:rPr>
        <w:t>, 2000-2020.</w:t>
      </w:r>
    </w:p>
    <w:p w14:paraId="68E2EC2A" w14:textId="1B4370B5" w:rsidR="00946386" w:rsidRDefault="00DA6E07" w:rsidP="00517063">
      <w:pPr>
        <w:pStyle w:val="BodyTextIndent2"/>
        <w:spacing w:before="240"/>
        <w:ind w:left="0"/>
      </w:pPr>
      <w:r>
        <w:t>Courses taught:  American Indian Law, Water Law, Natural Resources Law, Property Law, Public Land Law</w:t>
      </w:r>
      <w:r w:rsidR="00C13E29">
        <w:t>, and Wildlife Law</w:t>
      </w:r>
      <w:r w:rsidR="00B7465C">
        <w:t>.</w:t>
      </w:r>
    </w:p>
    <w:p w14:paraId="71CBD85A" w14:textId="77777777" w:rsidR="0069655E" w:rsidRPr="00072BAF" w:rsidRDefault="007615AB" w:rsidP="00517063">
      <w:pPr>
        <w:tabs>
          <w:tab w:val="left" w:pos="-1440"/>
        </w:tabs>
        <w:spacing w:line="240" w:lineRule="exact"/>
        <w:ind w:hanging="4320"/>
        <w:rPr>
          <w:rFonts w:cs="Times New Roman TUR"/>
        </w:rPr>
      </w:pPr>
      <w:r>
        <w:rPr>
          <w:rFonts w:cs="Times New Roman TUR"/>
        </w:rPr>
        <w:t>1997-2001</w:t>
      </w:r>
    </w:p>
    <w:p w14:paraId="6E600FB6" w14:textId="70A039C2" w:rsidR="00B7465C" w:rsidRPr="00CF5DC6" w:rsidRDefault="0079150B" w:rsidP="0013378B">
      <w:pPr>
        <w:spacing w:line="240" w:lineRule="exact"/>
        <w:rPr>
          <w:rFonts w:cs="Times New Roman TUR"/>
          <w:b/>
          <w:iCs/>
          <w:sz w:val="26"/>
          <w:szCs w:val="26"/>
        </w:rPr>
      </w:pPr>
      <w:r w:rsidRPr="00CF5DC6">
        <w:rPr>
          <w:rFonts w:cs="Times New Roman TUR"/>
          <w:b/>
          <w:iCs/>
          <w:sz w:val="26"/>
          <w:szCs w:val="26"/>
        </w:rPr>
        <w:t xml:space="preserve">Prior </w:t>
      </w:r>
      <w:r w:rsidR="006A0BCA" w:rsidRPr="00CF5DC6">
        <w:rPr>
          <w:rFonts w:cs="Times New Roman TUR"/>
          <w:b/>
          <w:iCs/>
          <w:sz w:val="26"/>
          <w:szCs w:val="26"/>
        </w:rPr>
        <w:t xml:space="preserve">Government </w:t>
      </w:r>
      <w:r w:rsidR="00946386" w:rsidRPr="00CF5DC6">
        <w:rPr>
          <w:rFonts w:cs="Times New Roman TUR"/>
          <w:b/>
          <w:iCs/>
          <w:sz w:val="26"/>
          <w:szCs w:val="26"/>
        </w:rPr>
        <w:t xml:space="preserve">&amp; Public </w:t>
      </w:r>
      <w:r w:rsidR="006A0BCA" w:rsidRPr="00CF5DC6">
        <w:rPr>
          <w:rFonts w:cs="Times New Roman TUR"/>
          <w:b/>
          <w:iCs/>
          <w:sz w:val="26"/>
          <w:szCs w:val="26"/>
        </w:rPr>
        <w:t>Service</w:t>
      </w:r>
    </w:p>
    <w:p w14:paraId="4B462A0B" w14:textId="1AA0DB7E" w:rsidR="0079150B" w:rsidRPr="00CF5DC6" w:rsidRDefault="0079150B" w:rsidP="0079150B">
      <w:pPr>
        <w:pStyle w:val="BodyTextIndent2"/>
        <w:spacing w:before="240" w:line="240" w:lineRule="auto"/>
        <w:ind w:left="0"/>
        <w:rPr>
          <w:bCs/>
        </w:rPr>
      </w:pPr>
      <w:r w:rsidRPr="00CF5DC6">
        <w:rPr>
          <w:bCs/>
        </w:rPr>
        <w:t xml:space="preserve">President-Elect Biden’s </w:t>
      </w:r>
      <w:r w:rsidR="00BC72C7" w:rsidRPr="00CF5DC6">
        <w:rPr>
          <w:bCs/>
        </w:rPr>
        <w:t>Agency Review</w:t>
      </w:r>
      <w:r w:rsidRPr="00CF5DC6">
        <w:rPr>
          <w:bCs/>
        </w:rPr>
        <w:t xml:space="preserve"> Team, 2020 </w:t>
      </w:r>
      <w:r w:rsidR="00946386" w:rsidRPr="00CF5DC6">
        <w:rPr>
          <w:bCs/>
        </w:rPr>
        <w:t>t</w:t>
      </w:r>
      <w:r w:rsidRPr="00CF5DC6">
        <w:rPr>
          <w:bCs/>
        </w:rPr>
        <w:t>o January 2021</w:t>
      </w:r>
    </w:p>
    <w:p w14:paraId="4A804645" w14:textId="6D60FF67" w:rsidR="00946386" w:rsidRPr="00946386" w:rsidRDefault="00946386" w:rsidP="0079150B">
      <w:pPr>
        <w:pStyle w:val="BodyTextIndent2"/>
        <w:spacing w:before="240" w:line="240" w:lineRule="auto"/>
        <w:ind w:left="0"/>
        <w:rPr>
          <w:b/>
        </w:rPr>
      </w:pPr>
      <w:r>
        <w:t>Deputy</w:t>
      </w:r>
      <w:r w:rsidRPr="00281FB2">
        <w:t>-lead for</w:t>
      </w:r>
      <w:r>
        <w:rPr>
          <w:i/>
        </w:rPr>
        <w:t xml:space="preserve"> </w:t>
      </w:r>
      <w:r w:rsidRPr="00270BD1">
        <w:rPr>
          <w:i/>
        </w:rPr>
        <w:t>Interior Department Agency Review</w:t>
      </w:r>
      <w:r>
        <w:rPr>
          <w:i/>
        </w:rPr>
        <w:t xml:space="preserve"> Team</w:t>
      </w:r>
    </w:p>
    <w:p w14:paraId="42D95FD1" w14:textId="283DBDD4" w:rsidR="0079150B" w:rsidRPr="00946386" w:rsidRDefault="0079150B" w:rsidP="0013378B">
      <w:pPr>
        <w:spacing w:line="240" w:lineRule="exact"/>
        <w:rPr>
          <w:rFonts w:cs="Times New Roman TUR"/>
          <w:bCs/>
          <w:iCs/>
        </w:rPr>
      </w:pPr>
    </w:p>
    <w:p w14:paraId="45CE9CCA" w14:textId="77777777" w:rsidR="0079150B" w:rsidRPr="00CF5DC6" w:rsidRDefault="0079150B" w:rsidP="0079150B">
      <w:pPr>
        <w:pStyle w:val="BodyTextIndent2"/>
        <w:spacing w:before="240"/>
        <w:ind w:left="0"/>
        <w:rPr>
          <w:bCs/>
          <w:lang w:eastAsia="zh-CN"/>
        </w:rPr>
      </w:pPr>
      <w:r w:rsidRPr="00CF5DC6">
        <w:rPr>
          <w:bCs/>
          <w:lang w:eastAsia="zh-CN"/>
        </w:rPr>
        <w:t>Commission on Indian Trust Administration and Reform, 2011 to 2013</w:t>
      </w:r>
    </w:p>
    <w:p w14:paraId="2261BE30" w14:textId="209E7089" w:rsidR="0079150B" w:rsidRPr="00E66989" w:rsidRDefault="0079150B" w:rsidP="0079150B">
      <w:pPr>
        <w:pStyle w:val="BodyTextIndent2"/>
        <w:spacing w:before="240"/>
        <w:ind w:left="0"/>
      </w:pPr>
      <w:r w:rsidRPr="00E66989">
        <w:rPr>
          <w:lang w:eastAsia="zh-CN"/>
        </w:rPr>
        <w:t xml:space="preserve">Appointed by Secretary of the Interior Ken Salazar to five-member </w:t>
      </w:r>
      <w:r w:rsidR="00946386">
        <w:rPr>
          <w:lang w:eastAsia="zh-CN"/>
        </w:rPr>
        <w:t xml:space="preserve">voluntary </w:t>
      </w:r>
      <w:r w:rsidRPr="00E66989">
        <w:rPr>
          <w:lang w:eastAsia="zh-CN"/>
        </w:rPr>
        <w:t>review Commission.</w:t>
      </w:r>
      <w:r>
        <w:rPr>
          <w:lang w:eastAsia="zh-CN"/>
        </w:rPr>
        <w:t xml:space="preserve"> Produced final report and recommendations for administrative reform efforts.</w:t>
      </w:r>
    </w:p>
    <w:p w14:paraId="1AC9F1E2" w14:textId="197185DD" w:rsidR="0079150B" w:rsidRPr="00CF5DC6" w:rsidRDefault="0079150B" w:rsidP="0079150B">
      <w:pPr>
        <w:pStyle w:val="BodyTextIndent2"/>
        <w:spacing w:before="240" w:line="240" w:lineRule="auto"/>
        <w:ind w:left="0"/>
        <w:rPr>
          <w:bCs/>
        </w:rPr>
      </w:pPr>
      <w:r w:rsidRPr="00CF5DC6">
        <w:rPr>
          <w:bCs/>
        </w:rPr>
        <w:t xml:space="preserve">President-Elect Obama’s </w:t>
      </w:r>
      <w:r w:rsidR="00F403DB" w:rsidRPr="00CF5DC6">
        <w:rPr>
          <w:bCs/>
        </w:rPr>
        <w:t>Agency Review Team</w:t>
      </w:r>
      <w:r w:rsidRPr="00CF5DC6">
        <w:rPr>
          <w:bCs/>
        </w:rPr>
        <w:t>, September 2008 to January 2009</w:t>
      </w:r>
    </w:p>
    <w:p w14:paraId="63A82CE1" w14:textId="4ADB8B4A" w:rsidR="0079150B" w:rsidRPr="0079150B" w:rsidRDefault="0079150B" w:rsidP="0079150B">
      <w:pPr>
        <w:spacing w:before="120" w:line="240" w:lineRule="exact"/>
        <w:rPr>
          <w:rFonts w:cs="Times New Roman TUR"/>
        </w:rPr>
      </w:pPr>
      <w:r w:rsidRPr="00281FB2">
        <w:rPr>
          <w:rFonts w:cs="Times New Roman TUR"/>
        </w:rPr>
        <w:t>Co-lead for</w:t>
      </w:r>
      <w:r>
        <w:rPr>
          <w:rFonts w:cs="Times New Roman TUR"/>
          <w:i/>
        </w:rPr>
        <w:t xml:space="preserve"> </w:t>
      </w:r>
      <w:r w:rsidRPr="00270BD1">
        <w:rPr>
          <w:rFonts w:cs="Times New Roman TUR"/>
          <w:i/>
        </w:rPr>
        <w:t>Interior Department Agency Review</w:t>
      </w:r>
      <w:r>
        <w:rPr>
          <w:rFonts w:cs="Times New Roman TUR"/>
          <w:i/>
        </w:rPr>
        <w:t xml:space="preserve"> </w:t>
      </w:r>
      <w:r>
        <w:rPr>
          <w:i/>
        </w:rPr>
        <w:t xml:space="preserve">— </w:t>
      </w:r>
      <w:r>
        <w:rPr>
          <w:rFonts w:cs="Times New Roman TUR"/>
        </w:rPr>
        <w:t>(co-lead of team selected to engage in pre-election and post-election analysis of Department of the Interior and to present the new Administration with options regarding all policy and budget matters affecting Interior and its constituents).</w:t>
      </w:r>
    </w:p>
    <w:p w14:paraId="7647B2DF" w14:textId="77777777" w:rsidR="00B7465C" w:rsidRDefault="00B7465C" w:rsidP="0013378B">
      <w:pPr>
        <w:spacing w:line="240" w:lineRule="exact"/>
        <w:rPr>
          <w:rFonts w:cs="Times New Roman TUR"/>
          <w:iCs/>
        </w:rPr>
      </w:pPr>
    </w:p>
    <w:p w14:paraId="60D7D771" w14:textId="08DDB5B8" w:rsidR="0069655E" w:rsidRPr="009A3410" w:rsidRDefault="007615AB" w:rsidP="0013378B">
      <w:pPr>
        <w:spacing w:line="240" w:lineRule="exact"/>
        <w:rPr>
          <w:rFonts w:cs="Times New Roman TUR"/>
        </w:rPr>
      </w:pPr>
      <w:r w:rsidRPr="009A3410">
        <w:rPr>
          <w:rFonts w:cs="Times New Roman TUR"/>
          <w:iCs/>
        </w:rPr>
        <w:t>Counselor to the Secretary of the Interior</w:t>
      </w:r>
      <w:r w:rsidR="005F6E92" w:rsidRPr="009A3410">
        <w:rPr>
          <w:rFonts w:cs="Times New Roman TUR"/>
          <w:iCs/>
        </w:rPr>
        <w:t xml:space="preserve"> (1997-2000)</w:t>
      </w:r>
    </w:p>
    <w:p w14:paraId="5370F619" w14:textId="77777777" w:rsidR="0069655E" w:rsidRPr="00A12F50" w:rsidRDefault="007615AB" w:rsidP="00623C76">
      <w:pPr>
        <w:rPr>
          <w:i/>
        </w:rPr>
      </w:pPr>
      <w:r w:rsidRPr="00A12F50">
        <w:t>Department of the Interior</w:t>
      </w:r>
    </w:p>
    <w:p w14:paraId="59A95252" w14:textId="77777777" w:rsidR="0069655E" w:rsidRPr="00A12F50" w:rsidRDefault="007615AB" w:rsidP="0013378B">
      <w:pPr>
        <w:spacing w:line="240" w:lineRule="exact"/>
        <w:rPr>
          <w:rFonts w:cs="Times New Roman TUR"/>
        </w:rPr>
      </w:pPr>
      <w:r w:rsidRPr="00A12F50">
        <w:rPr>
          <w:rFonts w:cs="Times New Roman TUR"/>
          <w:iCs/>
        </w:rPr>
        <w:t>Washington, D.C.  20240</w:t>
      </w:r>
      <w:r w:rsidRPr="00A12F50">
        <w:rPr>
          <w:rFonts w:cs="Times New Roman TUR"/>
        </w:rPr>
        <w:t xml:space="preserve"> </w:t>
      </w:r>
    </w:p>
    <w:p w14:paraId="3ED849AE" w14:textId="77777777" w:rsidR="0013378B" w:rsidRDefault="0013378B" w:rsidP="0013378B">
      <w:pPr>
        <w:spacing w:line="240" w:lineRule="exact"/>
        <w:ind w:firstLine="720"/>
        <w:rPr>
          <w:rFonts w:cs="Times New Roman TUR"/>
          <w:iCs/>
        </w:rPr>
      </w:pPr>
    </w:p>
    <w:p w14:paraId="3E675F6C" w14:textId="25F0258F" w:rsidR="0069655E" w:rsidRPr="008A5C19" w:rsidRDefault="007615AB" w:rsidP="001901C8">
      <w:pPr>
        <w:spacing w:line="240" w:lineRule="exact"/>
        <w:rPr>
          <w:rFonts w:cs="Times New Roman TUR"/>
          <w:b/>
          <w:bCs/>
        </w:rPr>
      </w:pPr>
      <w:r w:rsidRPr="009A3410">
        <w:rPr>
          <w:rFonts w:cs="Times New Roman TUR"/>
          <w:iCs/>
        </w:rPr>
        <w:t>Associate Solicitor for Indian Affairs</w:t>
      </w:r>
      <w:r w:rsidR="00D87EAD" w:rsidRPr="009A3410">
        <w:rPr>
          <w:rFonts w:cs="Times New Roman TUR"/>
          <w:iCs/>
        </w:rPr>
        <w:t xml:space="preserve"> (</w:t>
      </w:r>
      <w:r w:rsidR="00D87EAD" w:rsidRPr="009A3410">
        <w:rPr>
          <w:rFonts w:cs="Times New Roman TUR"/>
        </w:rPr>
        <w:t>1995-1997</w:t>
      </w:r>
      <w:r w:rsidR="005F6E92" w:rsidRPr="008A5C19">
        <w:rPr>
          <w:rFonts w:cs="Times New Roman TUR"/>
          <w:b/>
          <w:bCs/>
        </w:rPr>
        <w:t>)</w:t>
      </w:r>
    </w:p>
    <w:p w14:paraId="1EC497C4" w14:textId="77777777" w:rsidR="0069655E" w:rsidRPr="00A12F50" w:rsidRDefault="007615AB" w:rsidP="001901C8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Department of the Interior</w:t>
      </w:r>
    </w:p>
    <w:p w14:paraId="43EB5A1D" w14:textId="648AE49E" w:rsidR="00635C20" w:rsidRPr="00946386" w:rsidRDefault="007615AB">
      <w:pPr>
        <w:rPr>
          <w:rFonts w:cs="Times New Roman TUR"/>
          <w:iCs/>
        </w:rPr>
      </w:pPr>
      <w:r w:rsidRPr="00A12F50">
        <w:rPr>
          <w:rFonts w:cs="Times New Roman TUR"/>
          <w:iCs/>
        </w:rPr>
        <w:t>Washington, D.C. 20240</w:t>
      </w:r>
      <w:r w:rsidR="00635C20">
        <w:rPr>
          <w:rFonts w:cs="Times New Roman TUR"/>
        </w:rPr>
        <w:br w:type="page"/>
      </w:r>
    </w:p>
    <w:p w14:paraId="1925A793" w14:textId="77777777" w:rsidR="006C7AE3" w:rsidRPr="00072BAF" w:rsidRDefault="006C7AE3" w:rsidP="00AE55B2">
      <w:pPr>
        <w:spacing w:line="240" w:lineRule="exact"/>
        <w:rPr>
          <w:rFonts w:cs="Times New Roman TUR"/>
        </w:rPr>
      </w:pPr>
    </w:p>
    <w:p w14:paraId="4B241FF8" w14:textId="6DAEDFBD" w:rsidR="006C7AE3" w:rsidRPr="006C7AE3" w:rsidRDefault="003D2C9E" w:rsidP="0013378B">
      <w:pPr>
        <w:spacing w:line="240" w:lineRule="exact"/>
        <w:rPr>
          <w:rFonts w:cs="Times New Roman TUR"/>
          <w:b/>
          <w:iCs/>
        </w:rPr>
      </w:pPr>
      <w:r>
        <w:rPr>
          <w:rFonts w:cs="Times New Roman TUR"/>
          <w:b/>
          <w:iCs/>
        </w:rPr>
        <w:t xml:space="preserve">Native American Rights Fund, </w:t>
      </w:r>
      <w:r w:rsidR="006C7AE3" w:rsidRPr="006C7AE3">
        <w:rPr>
          <w:rFonts w:cs="Times New Roman TUR"/>
          <w:b/>
          <w:iCs/>
        </w:rPr>
        <w:t>August 1983 to March 1995</w:t>
      </w:r>
    </w:p>
    <w:p w14:paraId="36ECEF64" w14:textId="77777777" w:rsidR="006C7AE3" w:rsidRDefault="006C7AE3" w:rsidP="0013378B">
      <w:pPr>
        <w:spacing w:line="240" w:lineRule="exact"/>
        <w:rPr>
          <w:rFonts w:cs="Times New Roman TUR"/>
          <w:iCs/>
        </w:rPr>
      </w:pPr>
    </w:p>
    <w:p w14:paraId="5FF7BF56" w14:textId="77777777" w:rsidR="0069655E" w:rsidRPr="00A12F50" w:rsidRDefault="007615AB" w:rsidP="0013378B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Senior Staff Attorney</w:t>
      </w:r>
    </w:p>
    <w:p w14:paraId="3E742FBE" w14:textId="77777777" w:rsidR="0069655E" w:rsidRPr="00A12F50" w:rsidRDefault="007615AB" w:rsidP="001901C8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Native American Rights Fund</w:t>
      </w:r>
    </w:p>
    <w:p w14:paraId="0A585C46" w14:textId="77777777" w:rsidR="0069655E" w:rsidRPr="00A12F50" w:rsidRDefault="007615AB" w:rsidP="001901C8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Boulder, CO and Anchorage, AK</w:t>
      </w:r>
    </w:p>
    <w:p w14:paraId="7AD8B182" w14:textId="77777777" w:rsidR="0069655E" w:rsidRPr="00A12F50" w:rsidRDefault="007615AB" w:rsidP="001901C8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1506 Broadway</w:t>
      </w:r>
    </w:p>
    <w:p w14:paraId="10BEB1FF" w14:textId="77777777" w:rsidR="00BC7816" w:rsidRDefault="007615AB" w:rsidP="00A07C8A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Boulder, CO  80302</w:t>
      </w:r>
    </w:p>
    <w:p w14:paraId="7EBF4E30" w14:textId="77777777" w:rsidR="00BC7816" w:rsidRDefault="00BC7816" w:rsidP="00BC7816">
      <w:pPr>
        <w:spacing w:before="240" w:after="240" w:line="240" w:lineRule="exact"/>
        <w:rPr>
          <w:rFonts w:cs="Times New Roman TUR"/>
          <w:b/>
          <w:i/>
          <w:iCs/>
          <w:smallCaps/>
        </w:rPr>
      </w:pPr>
      <w:r w:rsidRPr="00184D8E">
        <w:rPr>
          <w:rFonts w:cs="Times New Roman TUR"/>
          <w:b/>
          <w:i/>
          <w:iCs/>
        </w:rPr>
        <w:t>EDUCATION</w:t>
      </w:r>
      <w:r w:rsidRPr="00184D8E">
        <w:rPr>
          <w:rFonts w:cs="Times New Roman TUR"/>
          <w:b/>
        </w:rPr>
        <w:t xml:space="preserve">, </w:t>
      </w:r>
      <w:r w:rsidRPr="00184D8E">
        <w:rPr>
          <w:rFonts w:cs="Times New Roman TUR"/>
          <w:b/>
          <w:i/>
          <w:iCs/>
          <w:smallCaps/>
        </w:rPr>
        <w:t xml:space="preserve">BAR MEMBERSHIPS </w:t>
      </w:r>
    </w:p>
    <w:p w14:paraId="0C277D61" w14:textId="77777777" w:rsidR="00BC7816" w:rsidRPr="00072BAF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 xml:space="preserve">J.D. </w:t>
      </w:r>
      <w:r w:rsidRPr="00072BAF">
        <w:rPr>
          <w:rFonts w:cs="Times New Roman TUR"/>
          <w:i/>
          <w:iCs/>
        </w:rPr>
        <w:t>Cum Laude</w:t>
      </w:r>
      <w:r w:rsidRPr="00072BAF">
        <w:rPr>
          <w:rFonts w:cs="Times New Roman TUR"/>
        </w:rPr>
        <w:t xml:space="preserve"> </w:t>
      </w:r>
    </w:p>
    <w:p w14:paraId="6201A21E" w14:textId="77777777" w:rsidR="00BC7816" w:rsidRPr="00072BAF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>University of Minnesota Law School</w:t>
      </w:r>
    </w:p>
    <w:p w14:paraId="73B5355B" w14:textId="77777777" w:rsidR="00BC7816" w:rsidRPr="00072BAF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>229 19th Avenue South</w:t>
      </w:r>
    </w:p>
    <w:p w14:paraId="09CCE9CF" w14:textId="77777777" w:rsidR="00BC7816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>Minneapolis, Minnesota  55455</w:t>
      </w:r>
    </w:p>
    <w:p w14:paraId="15326685" w14:textId="77777777" w:rsidR="00BC7816" w:rsidRPr="00072BAF" w:rsidRDefault="00BC7816" w:rsidP="00BC7816">
      <w:pPr>
        <w:rPr>
          <w:rFonts w:cs="Times New Roman TUR"/>
        </w:rPr>
      </w:pPr>
    </w:p>
    <w:p w14:paraId="4993B842" w14:textId="77777777" w:rsidR="00BC7816" w:rsidRPr="00072BAF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 xml:space="preserve">B.A. </w:t>
      </w:r>
      <w:r w:rsidRPr="00072BAF">
        <w:rPr>
          <w:rFonts w:cs="Times New Roman TUR"/>
          <w:i/>
          <w:iCs/>
        </w:rPr>
        <w:t>Summa Cum Laude</w:t>
      </w:r>
    </w:p>
    <w:p w14:paraId="4310A1CE" w14:textId="77777777" w:rsidR="00BC7816" w:rsidRPr="00072BAF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>Bemidji State University</w:t>
      </w:r>
    </w:p>
    <w:p w14:paraId="701C2FE7" w14:textId="77777777" w:rsidR="00BC7816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>Bemidji, Minnesota  56601</w:t>
      </w:r>
    </w:p>
    <w:p w14:paraId="0466A97B" w14:textId="77777777" w:rsidR="00BC7816" w:rsidRPr="00072BAF" w:rsidRDefault="00BC7816" w:rsidP="00BC7816">
      <w:pPr>
        <w:rPr>
          <w:rFonts w:cs="Times New Roman TUR"/>
        </w:rPr>
      </w:pPr>
    </w:p>
    <w:p w14:paraId="71809132" w14:textId="77777777" w:rsidR="00BC7816" w:rsidRDefault="00BC7816" w:rsidP="00BC7816">
      <w:pPr>
        <w:rPr>
          <w:rFonts w:cs="Times New Roman TUR"/>
        </w:rPr>
      </w:pPr>
      <w:r w:rsidRPr="00072BAF">
        <w:rPr>
          <w:rFonts w:cs="Times New Roman TUR"/>
        </w:rPr>
        <w:t xml:space="preserve">Licensed to practice in Washington, Minnesota, Colorado, Alaska, District of Columbia, United States Supreme Court, Eighth, Ninth, Tenth and District of Columbia </w:t>
      </w:r>
      <w:r>
        <w:rPr>
          <w:rFonts w:cs="Times New Roman TUR"/>
        </w:rPr>
        <w:t>Circuit Courts of Appeal</w:t>
      </w:r>
      <w:r w:rsidRPr="00072BAF">
        <w:rPr>
          <w:rFonts w:cs="Times New Roman TUR"/>
        </w:rPr>
        <w:t xml:space="preserve"> and Federal District Court for the District of Alaska</w:t>
      </w:r>
      <w:r>
        <w:rPr>
          <w:rFonts w:cs="Times New Roman TUR"/>
        </w:rPr>
        <w:t xml:space="preserve"> and Western District of Washington</w:t>
      </w:r>
      <w:r w:rsidRPr="00072BAF">
        <w:rPr>
          <w:rFonts w:cs="Times New Roman TUR"/>
        </w:rPr>
        <w:t>.</w:t>
      </w:r>
    </w:p>
    <w:p w14:paraId="6C4F303C" w14:textId="77777777" w:rsidR="00BC7816" w:rsidRDefault="00BC7816" w:rsidP="00BC7816">
      <w:pPr>
        <w:rPr>
          <w:rFonts w:cs="Times New Roman TUR"/>
        </w:rPr>
      </w:pPr>
    </w:p>
    <w:p w14:paraId="34FA5E6A" w14:textId="77777777" w:rsidR="00BC7816" w:rsidRDefault="00BC7816" w:rsidP="00BC7816">
      <w:pPr>
        <w:rPr>
          <w:rFonts w:cs="Times New Roman TUR"/>
          <w:b/>
          <w:i/>
        </w:rPr>
      </w:pPr>
      <w:r>
        <w:rPr>
          <w:rFonts w:cs="Times New Roman TUR"/>
          <w:b/>
          <w:i/>
        </w:rPr>
        <w:t>TRIBAL CITIZENSHIP</w:t>
      </w:r>
    </w:p>
    <w:p w14:paraId="0404E2A7" w14:textId="77777777" w:rsidR="00BC7816" w:rsidRPr="00894067" w:rsidRDefault="00BC7816" w:rsidP="00BC7816">
      <w:pPr>
        <w:rPr>
          <w:rFonts w:cs="Times New Roman TUR"/>
          <w:b/>
          <w:i/>
        </w:rPr>
      </w:pPr>
    </w:p>
    <w:p w14:paraId="498645D5" w14:textId="06C57816" w:rsidR="00BC7816" w:rsidRDefault="00BC7816" w:rsidP="00BC7816">
      <w:pPr>
        <w:rPr>
          <w:rFonts w:cs="Times New Roman TUR"/>
        </w:rPr>
      </w:pPr>
      <w:r>
        <w:rPr>
          <w:rFonts w:cs="Times New Roman TUR"/>
        </w:rPr>
        <w:t>Bois Forte Band of the Minnesota Chippewa Tribe</w:t>
      </w:r>
    </w:p>
    <w:p w14:paraId="562C7691" w14:textId="77777777" w:rsidR="00BC7816" w:rsidRPr="00072BAF" w:rsidRDefault="00BC7816" w:rsidP="00BC7816">
      <w:pPr>
        <w:tabs>
          <w:tab w:val="left" w:pos="-1440"/>
        </w:tabs>
        <w:spacing w:before="480"/>
        <w:rPr>
          <w:rFonts w:cs="Times New Roman TUR"/>
          <w:b/>
          <w:i/>
        </w:rPr>
      </w:pPr>
      <w:r w:rsidRPr="00072BAF">
        <w:rPr>
          <w:rFonts w:cs="Times New Roman TUR"/>
          <w:b/>
          <w:i/>
        </w:rPr>
        <w:t>BOARDS and JUD</w:t>
      </w:r>
      <w:r>
        <w:rPr>
          <w:rFonts w:cs="Times New Roman TUR"/>
          <w:b/>
          <w:i/>
        </w:rPr>
        <w:t>I</w:t>
      </w:r>
      <w:r w:rsidRPr="00072BAF">
        <w:rPr>
          <w:rFonts w:cs="Times New Roman TUR"/>
          <w:b/>
          <w:i/>
        </w:rPr>
        <w:t>CIAL APPOINTMENTS</w:t>
      </w:r>
    </w:p>
    <w:p w14:paraId="02CD6B8D" w14:textId="07D12322" w:rsidR="00BC7816" w:rsidRPr="00072BAF" w:rsidRDefault="00BC7816" w:rsidP="00BC7816">
      <w:pPr>
        <w:tabs>
          <w:tab w:val="left" w:pos="-1440"/>
        </w:tabs>
        <w:spacing w:before="240"/>
        <w:rPr>
          <w:rFonts w:cs="Times New Roman TUR"/>
        </w:rPr>
      </w:pPr>
      <w:r w:rsidRPr="00072BAF">
        <w:rPr>
          <w:rFonts w:cs="Times New Roman TUR"/>
        </w:rPr>
        <w:t xml:space="preserve">Chief Justice, Court of Appeals, Pokagon Band </w:t>
      </w:r>
      <w:r w:rsidRPr="00072BAF">
        <w:t>of Potawatomi Indians</w:t>
      </w:r>
      <w:r w:rsidR="00946386">
        <w:t>, resigned</w:t>
      </w:r>
    </w:p>
    <w:p w14:paraId="1DA3AFA8" w14:textId="716C6088" w:rsidR="00BC7816" w:rsidRDefault="00BC7816" w:rsidP="00BC7816">
      <w:pPr>
        <w:tabs>
          <w:tab w:val="left" w:pos="-1440"/>
        </w:tabs>
        <w:spacing w:before="240"/>
        <w:rPr>
          <w:rFonts w:cs="Times New Roman TUR"/>
        </w:rPr>
      </w:pPr>
      <w:r>
        <w:rPr>
          <w:rFonts w:cs="Times New Roman TUR"/>
        </w:rPr>
        <w:t>Justice</w:t>
      </w:r>
      <w:r w:rsidRPr="00072BAF">
        <w:rPr>
          <w:rFonts w:cs="Times New Roman TUR"/>
        </w:rPr>
        <w:t>, Tulalip Tribal Court of Appeals</w:t>
      </w:r>
      <w:r w:rsidR="00946386">
        <w:rPr>
          <w:rFonts w:cs="Times New Roman TUR"/>
        </w:rPr>
        <w:t>, resigned</w:t>
      </w:r>
    </w:p>
    <w:p w14:paraId="2B9672B0" w14:textId="1ED516F0" w:rsidR="00BC7816" w:rsidRDefault="00BC7816" w:rsidP="00BC7816">
      <w:pPr>
        <w:tabs>
          <w:tab w:val="left" w:pos="-1440"/>
        </w:tabs>
        <w:spacing w:before="240"/>
        <w:rPr>
          <w:rFonts w:cs="Times New Roman TUR"/>
        </w:rPr>
      </w:pPr>
      <w:r>
        <w:rPr>
          <w:rFonts w:cs="Times New Roman TUR"/>
        </w:rPr>
        <w:t>Justice, Bois Forte Band Court of Appeals</w:t>
      </w:r>
      <w:r w:rsidR="00946386">
        <w:rPr>
          <w:rFonts w:cs="Times New Roman TUR"/>
        </w:rPr>
        <w:t>, resigned</w:t>
      </w:r>
    </w:p>
    <w:p w14:paraId="45BA8C53" w14:textId="77777777" w:rsidR="00BC7816" w:rsidRPr="00072BAF" w:rsidRDefault="00BC7816" w:rsidP="00BC7816">
      <w:pPr>
        <w:tabs>
          <w:tab w:val="left" w:pos="-1440"/>
        </w:tabs>
        <w:spacing w:before="240"/>
        <w:rPr>
          <w:rFonts w:cs="Times New Roman TUR"/>
        </w:rPr>
      </w:pPr>
      <w:r w:rsidRPr="00072BAF">
        <w:rPr>
          <w:rFonts w:cs="Times New Roman TUR"/>
        </w:rPr>
        <w:t>Legal Foundation of Washington, Member, Board of Trustees (2002), Treasurer (2003),Vice President (2004), President (2005) (appoint</w:t>
      </w:r>
      <w:r>
        <w:rPr>
          <w:rFonts w:cs="Times New Roman TUR"/>
        </w:rPr>
        <w:t>ed by Washington Supreme Court)</w:t>
      </w:r>
    </w:p>
    <w:p w14:paraId="46240084" w14:textId="6E349A39" w:rsidR="00BC7816" w:rsidRDefault="00BC7816" w:rsidP="00BC7816">
      <w:pPr>
        <w:rPr>
          <w:rFonts w:cs="Times New Roman TUR"/>
        </w:rPr>
      </w:pPr>
    </w:p>
    <w:p w14:paraId="730D677A" w14:textId="3C86F940" w:rsidR="00BC7816" w:rsidRPr="00BC7816" w:rsidRDefault="00BC7816" w:rsidP="00BC7816">
      <w:pPr>
        <w:rPr>
          <w:rFonts w:cs="Times New Roman TUR"/>
          <w:u w:val="single"/>
        </w:rPr>
      </w:pPr>
      <w:r>
        <w:rPr>
          <w:rFonts w:cs="Times New Roman TUR"/>
          <w:u w:val="single"/>
        </w:rPr>
        <w:tab/>
      </w:r>
      <w:r>
        <w:rPr>
          <w:rFonts w:cs="Times New Roman TUR"/>
          <w:u w:val="single"/>
        </w:rPr>
        <w:tab/>
      </w:r>
      <w:r>
        <w:rPr>
          <w:rFonts w:cs="Times New Roman TUR"/>
          <w:u w:val="single"/>
        </w:rPr>
        <w:tab/>
      </w:r>
      <w:r>
        <w:rPr>
          <w:rFonts w:cs="Times New Roman TUR"/>
          <w:u w:val="single"/>
        </w:rPr>
        <w:tab/>
      </w:r>
      <w:r>
        <w:rPr>
          <w:rFonts w:cs="Times New Roman TUR"/>
          <w:u w:val="single"/>
        </w:rPr>
        <w:tab/>
      </w:r>
      <w:r>
        <w:rPr>
          <w:rFonts w:cs="Times New Roman TUR"/>
          <w:u w:val="single"/>
        </w:rPr>
        <w:tab/>
      </w:r>
    </w:p>
    <w:p w14:paraId="78C5738D" w14:textId="77777777" w:rsidR="00BC7816" w:rsidRDefault="00BC7816" w:rsidP="00BC7816">
      <w:pPr>
        <w:rPr>
          <w:rFonts w:cs="Times New Roman TUR"/>
        </w:rPr>
      </w:pPr>
    </w:p>
    <w:p w14:paraId="2A66A939" w14:textId="707D8A2C" w:rsidR="0069655E" w:rsidRPr="00072BAF" w:rsidRDefault="007615AB" w:rsidP="00D86B70">
      <w:pPr>
        <w:rPr>
          <w:rFonts w:cs="Times New Roman TUR"/>
          <w:b/>
          <w:i/>
          <w:iCs/>
        </w:rPr>
      </w:pPr>
      <w:r w:rsidRPr="00072BAF">
        <w:rPr>
          <w:rFonts w:cs="Times New Roman TUR"/>
          <w:b/>
          <w:i/>
          <w:iCs/>
        </w:rPr>
        <w:t>PUBLICATIONS</w:t>
      </w:r>
    </w:p>
    <w:p w14:paraId="3F76A91A" w14:textId="77777777" w:rsidR="0069655E" w:rsidRPr="00072BAF" w:rsidRDefault="0069655E" w:rsidP="0069655E">
      <w:pPr>
        <w:spacing w:line="240" w:lineRule="exact"/>
        <w:rPr>
          <w:rFonts w:cs="Times New Roman TUR"/>
          <w:i/>
          <w:iCs/>
        </w:rPr>
      </w:pPr>
    </w:p>
    <w:p w14:paraId="46422987" w14:textId="350AA8DE" w:rsidR="0069655E" w:rsidRDefault="007615AB" w:rsidP="0069655E">
      <w:pPr>
        <w:spacing w:line="240" w:lineRule="exact"/>
        <w:rPr>
          <w:rFonts w:cs="Times New Roman TUR"/>
          <w:iCs/>
          <w:u w:val="single"/>
        </w:rPr>
      </w:pPr>
      <w:r w:rsidRPr="00072BAF">
        <w:rPr>
          <w:rFonts w:cs="Times New Roman TUR"/>
          <w:iCs/>
          <w:u w:val="single"/>
        </w:rPr>
        <w:t>Books</w:t>
      </w:r>
      <w:r w:rsidR="003B5D85">
        <w:rPr>
          <w:rFonts w:cs="Times New Roman TUR"/>
          <w:iCs/>
          <w:u w:val="single"/>
        </w:rPr>
        <w:t xml:space="preserve"> &amp; Book Chapters</w:t>
      </w:r>
      <w:r w:rsidRPr="00072BAF">
        <w:rPr>
          <w:rFonts w:cs="Times New Roman TUR"/>
          <w:iCs/>
          <w:u w:val="single"/>
        </w:rPr>
        <w:t xml:space="preserve"> </w:t>
      </w:r>
    </w:p>
    <w:p w14:paraId="74FD1939" w14:textId="2CBD91F9" w:rsidR="0020561F" w:rsidRDefault="0020561F" w:rsidP="0069655E">
      <w:pPr>
        <w:spacing w:line="240" w:lineRule="exact"/>
        <w:rPr>
          <w:rFonts w:cs="Times New Roman TUR"/>
          <w:iCs/>
          <w:u w:val="single"/>
        </w:rPr>
      </w:pPr>
    </w:p>
    <w:p w14:paraId="0701BCDA" w14:textId="0CFD438D" w:rsidR="00F403DB" w:rsidRDefault="00F403DB" w:rsidP="00F403DB">
      <w:pPr>
        <w:spacing w:line="240" w:lineRule="exact"/>
        <w:rPr>
          <w:rFonts w:cs="Times New Roman TUR"/>
          <w:iCs/>
          <w:smallCaps/>
        </w:rPr>
      </w:pPr>
      <w:r w:rsidRPr="00A12F50">
        <w:rPr>
          <w:rFonts w:cs="Times New Roman TUR"/>
          <w:iCs/>
        </w:rPr>
        <w:t>Anderson, Krakoff</w:t>
      </w:r>
      <w:r>
        <w:rPr>
          <w:rFonts w:cs="Times New Roman TUR"/>
          <w:iCs/>
        </w:rPr>
        <w:t>,</w:t>
      </w:r>
      <w:r w:rsidRPr="00A12F50">
        <w:rPr>
          <w:rFonts w:cs="Times New Roman TUR"/>
          <w:iCs/>
        </w:rPr>
        <w:t xml:space="preserve"> </w:t>
      </w:r>
      <w:r>
        <w:rPr>
          <w:rFonts w:cs="Times New Roman TUR"/>
          <w:iCs/>
        </w:rPr>
        <w:t xml:space="preserve">&amp; </w:t>
      </w:r>
      <w:r w:rsidRPr="00A12F50">
        <w:rPr>
          <w:rFonts w:cs="Times New Roman TUR"/>
          <w:iCs/>
        </w:rPr>
        <w:t>Berger</w:t>
      </w:r>
      <w:r w:rsidRPr="00425AEA">
        <w:rPr>
          <w:rFonts w:cs="Times New Roman TUR"/>
          <w:iCs/>
          <w:smallCaps/>
        </w:rPr>
        <w:t>, American Indian Law: Cases and Commentary</w:t>
      </w:r>
      <w:r>
        <w:rPr>
          <w:rFonts w:cs="Times New Roman TUR"/>
          <w:iCs/>
          <w:smallCaps/>
        </w:rPr>
        <w:t>, 5</w:t>
      </w:r>
      <w:r w:rsidRPr="0020561F">
        <w:rPr>
          <w:rFonts w:cs="Times New Roman TUR"/>
          <w:iCs/>
          <w:smallCaps/>
          <w:vertAlign w:val="superscript"/>
        </w:rPr>
        <w:t>th</w:t>
      </w:r>
      <w:r>
        <w:rPr>
          <w:rFonts w:cs="Times New Roman TUR"/>
          <w:iCs/>
          <w:smallCaps/>
        </w:rPr>
        <w:t xml:space="preserve"> Ed. (</w:t>
      </w:r>
      <w:r w:rsidRPr="00A12F50">
        <w:rPr>
          <w:rFonts w:cs="Times New Roman TUR"/>
          <w:iCs/>
        </w:rPr>
        <w:t>West</w:t>
      </w:r>
      <w:r>
        <w:rPr>
          <w:rFonts w:cs="Times New Roman TUR"/>
          <w:iCs/>
        </w:rPr>
        <w:t xml:space="preserve"> 2025 – </w:t>
      </w:r>
      <w:r w:rsidRPr="00F403DB">
        <w:rPr>
          <w:rFonts w:cs="Times New Roman TUR"/>
          <w:i/>
        </w:rPr>
        <w:t>in progress</w:t>
      </w:r>
      <w:r w:rsidRPr="00425AEA">
        <w:rPr>
          <w:rFonts w:cs="Times New Roman TUR"/>
          <w:iCs/>
          <w:smallCaps/>
        </w:rPr>
        <w:t>).</w:t>
      </w:r>
    </w:p>
    <w:p w14:paraId="588525A3" w14:textId="77777777" w:rsidR="00F403DB" w:rsidRDefault="00F403DB" w:rsidP="0069655E">
      <w:pPr>
        <w:spacing w:line="240" w:lineRule="exact"/>
        <w:rPr>
          <w:rFonts w:cs="Times New Roman TUR"/>
          <w:iCs/>
          <w:u w:val="single"/>
        </w:rPr>
      </w:pPr>
    </w:p>
    <w:p w14:paraId="0843FC51" w14:textId="77777777" w:rsidR="00F403DB" w:rsidRDefault="00F403DB" w:rsidP="0020561F">
      <w:pPr>
        <w:spacing w:line="240" w:lineRule="exact"/>
        <w:rPr>
          <w:rFonts w:cs="Times New Roman TUR"/>
          <w:iCs/>
        </w:rPr>
      </w:pPr>
    </w:p>
    <w:p w14:paraId="32771006" w14:textId="4E46AC12" w:rsidR="0020561F" w:rsidRDefault="0020561F" w:rsidP="0020561F">
      <w:pPr>
        <w:spacing w:line="240" w:lineRule="exact"/>
        <w:rPr>
          <w:rFonts w:cs="Times New Roman TUR"/>
          <w:iCs/>
          <w:smallCaps/>
        </w:rPr>
      </w:pPr>
      <w:r w:rsidRPr="00A12F50">
        <w:rPr>
          <w:rFonts w:cs="Times New Roman TUR"/>
          <w:iCs/>
        </w:rPr>
        <w:lastRenderedPageBreak/>
        <w:t>Anderson, Krakoff</w:t>
      </w:r>
      <w:r w:rsidR="002B392F">
        <w:rPr>
          <w:rFonts w:cs="Times New Roman TUR"/>
          <w:iCs/>
        </w:rPr>
        <w:t>,</w:t>
      </w:r>
      <w:r w:rsidRPr="00A12F50">
        <w:rPr>
          <w:rFonts w:cs="Times New Roman TUR"/>
          <w:iCs/>
        </w:rPr>
        <w:t xml:space="preserve"> </w:t>
      </w:r>
      <w:r w:rsidR="00BC7816">
        <w:rPr>
          <w:rFonts w:cs="Times New Roman TUR"/>
          <w:iCs/>
        </w:rPr>
        <w:t xml:space="preserve">&amp; </w:t>
      </w:r>
      <w:r w:rsidRPr="00A12F50">
        <w:rPr>
          <w:rFonts w:cs="Times New Roman TUR"/>
          <w:iCs/>
        </w:rPr>
        <w:t>Berger</w:t>
      </w:r>
      <w:r w:rsidRPr="00425AEA">
        <w:rPr>
          <w:rFonts w:cs="Times New Roman TUR"/>
          <w:iCs/>
          <w:smallCaps/>
        </w:rPr>
        <w:t>, American Indian Law: Cases and Commentary</w:t>
      </w:r>
      <w:r>
        <w:rPr>
          <w:rFonts w:cs="Times New Roman TUR"/>
          <w:iCs/>
          <w:smallCaps/>
        </w:rPr>
        <w:t>, 4</w:t>
      </w:r>
      <w:r w:rsidRPr="0020561F">
        <w:rPr>
          <w:rFonts w:cs="Times New Roman TUR"/>
          <w:iCs/>
          <w:smallCaps/>
          <w:vertAlign w:val="superscript"/>
        </w:rPr>
        <w:t>th</w:t>
      </w:r>
      <w:r>
        <w:rPr>
          <w:rFonts w:cs="Times New Roman TUR"/>
          <w:iCs/>
          <w:smallCaps/>
        </w:rPr>
        <w:t xml:space="preserve"> Ed. (</w:t>
      </w:r>
      <w:r w:rsidRPr="00A12F50">
        <w:rPr>
          <w:rFonts w:cs="Times New Roman TUR"/>
          <w:iCs/>
        </w:rPr>
        <w:t>West</w:t>
      </w:r>
      <w:r>
        <w:rPr>
          <w:rFonts w:cs="Times New Roman TUR"/>
          <w:iCs/>
        </w:rPr>
        <w:t xml:space="preserve"> 20</w:t>
      </w:r>
      <w:r w:rsidR="00946386">
        <w:rPr>
          <w:rFonts w:cs="Times New Roman TUR"/>
          <w:iCs/>
        </w:rPr>
        <w:t>20</w:t>
      </w:r>
      <w:r w:rsidRPr="00425AEA">
        <w:rPr>
          <w:rFonts w:cs="Times New Roman TUR"/>
          <w:iCs/>
          <w:smallCaps/>
        </w:rPr>
        <w:t>).</w:t>
      </w:r>
    </w:p>
    <w:p w14:paraId="73400D23" w14:textId="77777777" w:rsidR="0069655E" w:rsidRPr="00072BAF" w:rsidRDefault="0069655E" w:rsidP="0069655E">
      <w:pPr>
        <w:spacing w:line="240" w:lineRule="exact"/>
        <w:jc w:val="both"/>
        <w:rPr>
          <w:rFonts w:cs="Times New Roman TUR"/>
          <w:iCs/>
          <w:u w:val="single"/>
        </w:rPr>
      </w:pPr>
    </w:p>
    <w:p w14:paraId="57EE3A63" w14:textId="1E48029F" w:rsidR="00450390" w:rsidRDefault="00450390" w:rsidP="00450390">
      <w:pPr>
        <w:spacing w:line="240" w:lineRule="exact"/>
        <w:rPr>
          <w:rFonts w:cs="Times New Roman TUR"/>
          <w:iCs/>
          <w:smallCaps/>
        </w:rPr>
      </w:pPr>
      <w:r w:rsidRPr="00A12F50">
        <w:rPr>
          <w:rFonts w:cs="Times New Roman TUR"/>
          <w:iCs/>
        </w:rPr>
        <w:t xml:space="preserve">Anderson, Berger, </w:t>
      </w:r>
      <w:r w:rsidR="00A15567" w:rsidRPr="00A12F50">
        <w:rPr>
          <w:rFonts w:cs="Times New Roman TUR"/>
          <w:iCs/>
        </w:rPr>
        <w:t xml:space="preserve">Krakoff </w:t>
      </w:r>
      <w:r w:rsidRPr="00A12F50">
        <w:rPr>
          <w:rFonts w:cs="Times New Roman TUR"/>
          <w:iCs/>
        </w:rPr>
        <w:t xml:space="preserve">and </w:t>
      </w:r>
      <w:r w:rsidR="00A15567" w:rsidRPr="00A12F50">
        <w:rPr>
          <w:rFonts w:cs="Times New Roman TUR"/>
          <w:iCs/>
        </w:rPr>
        <w:t>Frickey</w:t>
      </w:r>
      <w:r w:rsidRPr="00425AEA">
        <w:rPr>
          <w:rFonts w:cs="Times New Roman TUR"/>
          <w:iCs/>
          <w:smallCaps/>
        </w:rPr>
        <w:t>, American Indian Law: Cases and Commentary</w:t>
      </w:r>
      <w:r w:rsidR="00CA710A">
        <w:rPr>
          <w:rFonts w:cs="Times New Roman TUR"/>
          <w:iCs/>
          <w:smallCaps/>
        </w:rPr>
        <w:t>,</w:t>
      </w:r>
      <w:r>
        <w:rPr>
          <w:rFonts w:cs="Times New Roman TUR"/>
          <w:iCs/>
          <w:smallCaps/>
        </w:rPr>
        <w:t xml:space="preserve"> 3rd Ed. (</w:t>
      </w:r>
      <w:r w:rsidRPr="00A12F50">
        <w:rPr>
          <w:rFonts w:cs="Times New Roman TUR"/>
          <w:iCs/>
        </w:rPr>
        <w:t>West</w:t>
      </w:r>
      <w:r w:rsidR="00B85351">
        <w:rPr>
          <w:rFonts w:cs="Times New Roman TUR"/>
          <w:iCs/>
        </w:rPr>
        <w:t xml:space="preserve"> 2015</w:t>
      </w:r>
      <w:r w:rsidRPr="00425AEA">
        <w:rPr>
          <w:rFonts w:cs="Times New Roman TUR"/>
          <w:iCs/>
          <w:smallCaps/>
        </w:rPr>
        <w:t>).</w:t>
      </w:r>
    </w:p>
    <w:p w14:paraId="454089AB" w14:textId="77777777" w:rsidR="00450390" w:rsidRDefault="00450390" w:rsidP="00E91721">
      <w:pPr>
        <w:spacing w:line="240" w:lineRule="exact"/>
        <w:rPr>
          <w:rFonts w:cs="Times New Roman TUR"/>
          <w:iCs/>
          <w:smallCaps/>
        </w:rPr>
      </w:pPr>
    </w:p>
    <w:p w14:paraId="6DC4E92A" w14:textId="771C40E7" w:rsidR="00E91721" w:rsidRDefault="00E91721" w:rsidP="00E91721">
      <w:pPr>
        <w:spacing w:line="240" w:lineRule="exact"/>
        <w:rPr>
          <w:rFonts w:cs="Times New Roman TUR"/>
          <w:iCs/>
          <w:smallCaps/>
        </w:rPr>
      </w:pPr>
      <w:r w:rsidRPr="00072BAF">
        <w:rPr>
          <w:rFonts w:cs="Times New Roman TUR"/>
          <w:iCs/>
          <w:smallCaps/>
        </w:rPr>
        <w:t>Cohen’s Handbook of Federal Indian Law (</w:t>
      </w:r>
      <w:r>
        <w:rPr>
          <w:rFonts w:cs="Times New Roman TUR"/>
          <w:iCs/>
        </w:rPr>
        <w:t>LexisNexis 2012</w:t>
      </w:r>
      <w:r w:rsidRPr="00072BAF">
        <w:rPr>
          <w:rFonts w:cs="Times New Roman TUR"/>
          <w:iCs/>
          <w:smallCaps/>
        </w:rPr>
        <w:t>) (</w:t>
      </w:r>
      <w:r w:rsidRPr="00072BAF">
        <w:rPr>
          <w:rFonts w:cs="Times New Roman TUR"/>
          <w:iCs/>
        </w:rPr>
        <w:t>Co-author and member of Executive Editorial Board)</w:t>
      </w:r>
      <w:r w:rsidRPr="00072BAF">
        <w:rPr>
          <w:rFonts w:cs="Times New Roman TUR"/>
          <w:iCs/>
          <w:smallCaps/>
        </w:rPr>
        <w:t>.</w:t>
      </w:r>
    </w:p>
    <w:p w14:paraId="11F2D8BB" w14:textId="2C712652" w:rsidR="0020561F" w:rsidRDefault="0020561F" w:rsidP="00E91721">
      <w:pPr>
        <w:spacing w:line="240" w:lineRule="exact"/>
        <w:rPr>
          <w:rFonts w:cs="Times New Roman TUR"/>
          <w:iCs/>
          <w:smallCaps/>
        </w:rPr>
      </w:pPr>
    </w:p>
    <w:p w14:paraId="0BD7EDF6" w14:textId="7E146BB7" w:rsidR="0020561F" w:rsidRDefault="0020561F" w:rsidP="00E91721">
      <w:pPr>
        <w:spacing w:line="240" w:lineRule="exact"/>
        <w:rPr>
          <w:rFonts w:cs="Times New Roman TUR"/>
          <w:iCs/>
          <w:smallCaps/>
        </w:rPr>
      </w:pPr>
      <w:r w:rsidRPr="00072BAF">
        <w:rPr>
          <w:rFonts w:cs="Times New Roman TUR"/>
          <w:iCs/>
          <w:smallCaps/>
        </w:rPr>
        <w:t>Cohen’s Handbook of Federal Indian Law</w:t>
      </w:r>
      <w:r>
        <w:rPr>
          <w:rFonts w:cs="Times New Roman TUR"/>
          <w:iCs/>
          <w:smallCaps/>
        </w:rPr>
        <w:t>—2019 Supplement</w:t>
      </w:r>
      <w:r w:rsidRPr="00072BAF">
        <w:rPr>
          <w:rFonts w:cs="Times New Roman TUR"/>
          <w:iCs/>
          <w:smallCaps/>
        </w:rPr>
        <w:t xml:space="preserve"> (</w:t>
      </w:r>
      <w:r>
        <w:rPr>
          <w:rFonts w:cs="Times New Roman TUR"/>
          <w:iCs/>
        </w:rPr>
        <w:t>LexisNexis 2019</w:t>
      </w:r>
      <w:r w:rsidRPr="00072BAF">
        <w:rPr>
          <w:rFonts w:cs="Times New Roman TUR"/>
          <w:iCs/>
          <w:smallCaps/>
        </w:rPr>
        <w:t>) (</w:t>
      </w:r>
      <w:r w:rsidRPr="00072BAF">
        <w:rPr>
          <w:rFonts w:cs="Times New Roman TUR"/>
          <w:iCs/>
        </w:rPr>
        <w:t>Co-author and member of Executive Editorial Board)</w:t>
      </w:r>
      <w:r w:rsidRPr="00072BAF">
        <w:rPr>
          <w:rFonts w:cs="Times New Roman TUR"/>
          <w:iCs/>
          <w:smallCaps/>
        </w:rPr>
        <w:t>.</w:t>
      </w:r>
    </w:p>
    <w:p w14:paraId="15DA9BBE" w14:textId="77777777" w:rsidR="00894067" w:rsidRDefault="00894067" w:rsidP="00E91721">
      <w:pPr>
        <w:spacing w:line="240" w:lineRule="exact"/>
        <w:rPr>
          <w:rFonts w:cs="Times New Roman TUR"/>
          <w:iCs/>
          <w:smallCaps/>
        </w:rPr>
      </w:pPr>
    </w:p>
    <w:p w14:paraId="4A3DFDB9" w14:textId="67D6BD5D" w:rsidR="00894067" w:rsidRDefault="00894067" w:rsidP="00894067">
      <w:pPr>
        <w:spacing w:line="240" w:lineRule="exact"/>
        <w:rPr>
          <w:rFonts w:cs="Times New Roman TUR"/>
          <w:iCs/>
          <w:smallCaps/>
        </w:rPr>
      </w:pPr>
      <w:r w:rsidRPr="00072BAF">
        <w:rPr>
          <w:rFonts w:cs="Times New Roman TUR"/>
          <w:iCs/>
          <w:smallCaps/>
        </w:rPr>
        <w:t>Cohen’s Handbook of Federal Indian Law</w:t>
      </w:r>
      <w:r>
        <w:rPr>
          <w:rFonts w:cs="Times New Roman TUR"/>
          <w:iCs/>
          <w:smallCaps/>
        </w:rPr>
        <w:t>—2017 Supplement</w:t>
      </w:r>
      <w:r w:rsidRPr="00072BAF">
        <w:rPr>
          <w:rFonts w:cs="Times New Roman TUR"/>
          <w:iCs/>
          <w:smallCaps/>
        </w:rPr>
        <w:t xml:space="preserve"> (</w:t>
      </w:r>
      <w:r>
        <w:rPr>
          <w:rFonts w:cs="Times New Roman TUR"/>
          <w:iCs/>
        </w:rPr>
        <w:t>LexisNexis 2017</w:t>
      </w:r>
      <w:r w:rsidRPr="00072BAF">
        <w:rPr>
          <w:rFonts w:cs="Times New Roman TUR"/>
          <w:iCs/>
          <w:smallCaps/>
        </w:rPr>
        <w:t>) (</w:t>
      </w:r>
      <w:r w:rsidRPr="00072BAF">
        <w:rPr>
          <w:rFonts w:cs="Times New Roman TUR"/>
          <w:iCs/>
        </w:rPr>
        <w:t>Co-author and member of Executive Editorial Board)</w:t>
      </w:r>
      <w:r w:rsidRPr="00072BAF">
        <w:rPr>
          <w:rFonts w:cs="Times New Roman TUR"/>
          <w:iCs/>
          <w:smallCaps/>
        </w:rPr>
        <w:t>.</w:t>
      </w:r>
    </w:p>
    <w:p w14:paraId="0C7A18B7" w14:textId="77777777" w:rsidR="00AC56D4" w:rsidRDefault="00AC56D4" w:rsidP="00E91721">
      <w:pPr>
        <w:spacing w:line="240" w:lineRule="exact"/>
        <w:rPr>
          <w:rFonts w:cs="Times New Roman TUR"/>
          <w:iCs/>
          <w:smallCaps/>
        </w:rPr>
      </w:pPr>
    </w:p>
    <w:p w14:paraId="4312E4FE" w14:textId="04239B6B" w:rsidR="00AC56D4" w:rsidRDefault="00AC56D4" w:rsidP="00E91721">
      <w:pPr>
        <w:spacing w:line="240" w:lineRule="exact"/>
        <w:rPr>
          <w:rFonts w:cs="Times New Roman TUR"/>
          <w:iCs/>
          <w:smallCaps/>
        </w:rPr>
      </w:pPr>
      <w:r w:rsidRPr="00072BAF">
        <w:rPr>
          <w:rFonts w:cs="Times New Roman TUR"/>
          <w:iCs/>
          <w:smallCaps/>
        </w:rPr>
        <w:t>Cohen’s Handbook of Federal Indian Law</w:t>
      </w:r>
      <w:r w:rsidR="00CA710A">
        <w:rPr>
          <w:rFonts w:cs="Times New Roman TUR"/>
          <w:iCs/>
          <w:smallCaps/>
        </w:rPr>
        <w:t>—</w:t>
      </w:r>
      <w:r>
        <w:rPr>
          <w:rFonts w:cs="Times New Roman TUR"/>
          <w:iCs/>
          <w:smallCaps/>
        </w:rPr>
        <w:t>2015 Supplement</w:t>
      </w:r>
      <w:r w:rsidRPr="00072BAF">
        <w:rPr>
          <w:rFonts w:cs="Times New Roman TUR"/>
          <w:iCs/>
          <w:smallCaps/>
        </w:rPr>
        <w:t xml:space="preserve"> (</w:t>
      </w:r>
      <w:r>
        <w:rPr>
          <w:rFonts w:cs="Times New Roman TUR"/>
          <w:iCs/>
        </w:rPr>
        <w:t>LexisNexis 201</w:t>
      </w:r>
      <w:r w:rsidR="00894067">
        <w:rPr>
          <w:rFonts w:cs="Times New Roman TUR"/>
          <w:iCs/>
        </w:rPr>
        <w:t>5</w:t>
      </w:r>
      <w:r w:rsidRPr="00072BAF">
        <w:rPr>
          <w:rFonts w:cs="Times New Roman TUR"/>
          <w:iCs/>
          <w:smallCaps/>
        </w:rPr>
        <w:t>) (</w:t>
      </w:r>
      <w:r w:rsidRPr="00072BAF">
        <w:rPr>
          <w:rFonts w:cs="Times New Roman TUR"/>
          <w:iCs/>
        </w:rPr>
        <w:t>Co-author and member of Executive Editorial Board)</w:t>
      </w:r>
      <w:r w:rsidRPr="00072BAF">
        <w:rPr>
          <w:rFonts w:cs="Times New Roman TUR"/>
          <w:iCs/>
          <w:smallCaps/>
        </w:rPr>
        <w:t>.</w:t>
      </w:r>
    </w:p>
    <w:p w14:paraId="1B42D3D2" w14:textId="77777777" w:rsidR="00E91721" w:rsidRDefault="00E91721" w:rsidP="0069655E">
      <w:pPr>
        <w:spacing w:line="240" w:lineRule="exact"/>
        <w:rPr>
          <w:rFonts w:cs="Times New Roman TUR"/>
          <w:i/>
          <w:iCs/>
        </w:rPr>
      </w:pPr>
    </w:p>
    <w:p w14:paraId="7B44E389" w14:textId="0FE07293" w:rsidR="0069655E" w:rsidRDefault="00CA710A" w:rsidP="0069655E">
      <w:pPr>
        <w:spacing w:line="240" w:lineRule="exact"/>
        <w:rPr>
          <w:rFonts w:cs="Times New Roman TUR"/>
          <w:iCs/>
          <w:smallCaps/>
        </w:rPr>
      </w:pPr>
      <w:r w:rsidRPr="00A12F50">
        <w:rPr>
          <w:rFonts w:cs="Times New Roman TUR"/>
          <w:iCs/>
          <w:smallCaps/>
        </w:rPr>
        <w:t>Indian Law Stories</w:t>
      </w:r>
      <w:r>
        <w:rPr>
          <w:rFonts w:cs="Times New Roman TUR"/>
          <w:iCs/>
          <w:smallCaps/>
        </w:rPr>
        <w:t xml:space="preserve">, </w:t>
      </w:r>
      <w:r w:rsidRPr="00CA710A">
        <w:rPr>
          <w:rFonts w:cs="Times New Roman TUR"/>
          <w:iCs/>
        </w:rPr>
        <w:t xml:space="preserve">Book </w:t>
      </w:r>
      <w:r>
        <w:rPr>
          <w:rFonts w:cs="Times New Roman TUR"/>
          <w:iCs/>
        </w:rPr>
        <w:t xml:space="preserve">Chapter, </w:t>
      </w:r>
      <w:r w:rsidR="007615AB" w:rsidRPr="00A12F50">
        <w:rPr>
          <w:rFonts w:cs="Times New Roman TUR"/>
          <w:i/>
          <w:iCs/>
        </w:rPr>
        <w:t>Aboriginal Title in the Canadian Legal System:</w:t>
      </w:r>
      <w:r w:rsidR="007615AB">
        <w:rPr>
          <w:rFonts w:cs="Times New Roman TUR"/>
          <w:iCs/>
        </w:rPr>
        <w:t xml:space="preserve">  </w:t>
      </w:r>
      <w:r w:rsidR="007615AB" w:rsidRPr="00A12F50">
        <w:rPr>
          <w:rFonts w:cs="Times New Roman TUR"/>
          <w:iCs/>
        </w:rPr>
        <w:t xml:space="preserve">Delgamuukw v. British Columbia, </w:t>
      </w:r>
      <w:r w:rsidR="007615AB" w:rsidRPr="00A12F50">
        <w:rPr>
          <w:rFonts w:cs="Times New Roman TUR"/>
          <w:iCs/>
          <w:smallCaps/>
        </w:rPr>
        <w:t>(</w:t>
      </w:r>
      <w:r w:rsidR="007615AB" w:rsidRPr="00A12F50">
        <w:rPr>
          <w:rFonts w:cs="Times New Roman TUR"/>
          <w:iCs/>
        </w:rPr>
        <w:t>Foundation Press 2011</w:t>
      </w:r>
      <w:r w:rsidR="007615AB" w:rsidRPr="00A12F50">
        <w:rPr>
          <w:rFonts w:cs="Times New Roman TUR"/>
          <w:iCs/>
          <w:smallCaps/>
        </w:rPr>
        <w:t>)</w:t>
      </w:r>
      <w:r w:rsidR="007615AB">
        <w:rPr>
          <w:rFonts w:cs="Times New Roman TUR"/>
          <w:iCs/>
          <w:smallCaps/>
        </w:rPr>
        <w:t>.</w:t>
      </w:r>
    </w:p>
    <w:p w14:paraId="1CD9E74C" w14:textId="77777777" w:rsidR="0069655E" w:rsidRDefault="0069655E" w:rsidP="0069655E">
      <w:pPr>
        <w:spacing w:line="240" w:lineRule="exact"/>
        <w:rPr>
          <w:rFonts w:cs="Times New Roman TUR"/>
          <w:iCs/>
          <w:smallCaps/>
        </w:rPr>
      </w:pPr>
    </w:p>
    <w:p w14:paraId="6E8B1111" w14:textId="1BE5E857" w:rsidR="0069655E" w:rsidRDefault="007615AB" w:rsidP="0069655E">
      <w:pPr>
        <w:spacing w:line="240" w:lineRule="exact"/>
        <w:rPr>
          <w:rFonts w:cs="Times New Roman TUR"/>
          <w:iCs/>
          <w:smallCaps/>
        </w:rPr>
      </w:pPr>
      <w:r w:rsidRPr="00A12F50">
        <w:rPr>
          <w:rFonts w:cs="Times New Roman TUR"/>
          <w:iCs/>
        </w:rPr>
        <w:t>Anderson, Berger, Frickey and Krakoff</w:t>
      </w:r>
      <w:r w:rsidRPr="00425AEA">
        <w:rPr>
          <w:rFonts w:cs="Times New Roman TUR"/>
          <w:iCs/>
          <w:smallCaps/>
        </w:rPr>
        <w:t>, American Indian Law: Cases and Commentary</w:t>
      </w:r>
      <w:r w:rsidR="00CA710A">
        <w:rPr>
          <w:rFonts w:cs="Times New Roman TUR"/>
          <w:iCs/>
          <w:smallCaps/>
        </w:rPr>
        <w:t>,</w:t>
      </w:r>
      <w:r>
        <w:rPr>
          <w:rFonts w:cs="Times New Roman TUR"/>
          <w:iCs/>
          <w:smallCaps/>
        </w:rPr>
        <w:t xml:space="preserve"> 2nd Ed. (</w:t>
      </w:r>
      <w:r w:rsidRPr="00A12F50">
        <w:rPr>
          <w:rFonts w:cs="Times New Roman TUR"/>
          <w:iCs/>
        </w:rPr>
        <w:t xml:space="preserve">West </w:t>
      </w:r>
      <w:r>
        <w:rPr>
          <w:rFonts w:cs="Times New Roman TUR"/>
          <w:iCs/>
          <w:smallCaps/>
        </w:rPr>
        <w:t>2010</w:t>
      </w:r>
      <w:r w:rsidRPr="00425AEA">
        <w:rPr>
          <w:rFonts w:cs="Times New Roman TUR"/>
          <w:iCs/>
          <w:smallCaps/>
        </w:rPr>
        <w:t>).</w:t>
      </w:r>
    </w:p>
    <w:p w14:paraId="681ABDCC" w14:textId="77777777" w:rsidR="0069655E" w:rsidRDefault="0069655E" w:rsidP="0069655E">
      <w:pPr>
        <w:spacing w:line="240" w:lineRule="exact"/>
        <w:rPr>
          <w:rFonts w:cs="Times New Roman TUR"/>
          <w:iCs/>
          <w:smallCaps/>
        </w:rPr>
      </w:pPr>
    </w:p>
    <w:p w14:paraId="64F0286E" w14:textId="77777777" w:rsidR="0069655E" w:rsidRDefault="007615AB" w:rsidP="0069655E">
      <w:pPr>
        <w:spacing w:line="240" w:lineRule="exact"/>
        <w:rPr>
          <w:rFonts w:cs="Times New Roman TUR"/>
          <w:iCs/>
        </w:rPr>
      </w:pPr>
      <w:r w:rsidRPr="00A12F50">
        <w:rPr>
          <w:rFonts w:cs="Times New Roman TUR"/>
          <w:iCs/>
        </w:rPr>
        <w:t>Anderson, Berger, Frickey and Krakoff</w:t>
      </w:r>
      <w:r>
        <w:rPr>
          <w:rFonts w:cs="Times New Roman TUR"/>
          <w:iCs/>
          <w:smallCaps/>
        </w:rPr>
        <w:t>, American Indian Law: Cases and Commentary</w:t>
      </w:r>
      <w:r>
        <w:rPr>
          <w:rFonts w:cs="Times New Roman TUR"/>
          <w:iCs/>
        </w:rPr>
        <w:t xml:space="preserve"> (ThompsonWest 2008).</w:t>
      </w:r>
    </w:p>
    <w:p w14:paraId="6C4BDE52" w14:textId="77777777" w:rsidR="0069655E" w:rsidRDefault="0069655E" w:rsidP="0069655E">
      <w:pPr>
        <w:spacing w:line="240" w:lineRule="exact"/>
        <w:rPr>
          <w:rFonts w:cs="Times New Roman TUR"/>
          <w:iCs/>
        </w:rPr>
      </w:pPr>
    </w:p>
    <w:p w14:paraId="359CF23D" w14:textId="77777777" w:rsidR="0069655E" w:rsidRPr="00BD543E" w:rsidRDefault="007615AB" w:rsidP="0069655E">
      <w:r w:rsidRPr="00072BAF">
        <w:rPr>
          <w:rFonts w:eastAsia="MS Mincho"/>
          <w:smallCaps/>
          <w:lang w:eastAsia="ja-JP"/>
        </w:rPr>
        <w:t>The Power of Promises: Perspectives on Pacific Northwest Indian Treaties</w:t>
      </w:r>
      <w:r w:rsidRPr="00072BAF">
        <w:rPr>
          <w:rFonts w:eastAsia="MS Mincho"/>
          <w:lang w:eastAsia="ja-JP"/>
        </w:rPr>
        <w:t xml:space="preserve">, </w:t>
      </w:r>
      <w:r w:rsidRPr="00072BAF">
        <w:t xml:space="preserve">Book Chapter, </w:t>
      </w:r>
      <w:r w:rsidRPr="00072BAF">
        <w:rPr>
          <w:i/>
        </w:rPr>
        <w:t>Treaty Substitutes in the Modern Era</w:t>
      </w:r>
      <w:r w:rsidRPr="00072BAF">
        <w:t xml:space="preserve"> (UW Press</w:t>
      </w:r>
      <w:r>
        <w:t xml:space="preserve"> 2008</w:t>
      </w:r>
      <w:r w:rsidRPr="00072BAF">
        <w:t>).</w:t>
      </w:r>
    </w:p>
    <w:p w14:paraId="6105F124" w14:textId="77777777" w:rsidR="0069655E" w:rsidRDefault="0069655E" w:rsidP="0069655E">
      <w:pPr>
        <w:spacing w:line="240" w:lineRule="exact"/>
        <w:rPr>
          <w:rFonts w:cs="Times New Roman TUR"/>
          <w:iCs/>
          <w:smallCaps/>
        </w:rPr>
      </w:pPr>
    </w:p>
    <w:p w14:paraId="3C00C9E5" w14:textId="77777777" w:rsidR="0069655E" w:rsidRDefault="007615AB" w:rsidP="0069655E">
      <w:pPr>
        <w:spacing w:line="240" w:lineRule="exact"/>
        <w:rPr>
          <w:rFonts w:cs="Times New Roman TUR"/>
          <w:iCs/>
          <w:smallCaps/>
        </w:rPr>
      </w:pPr>
      <w:r w:rsidRPr="00072BAF">
        <w:rPr>
          <w:rFonts w:cs="Times New Roman TUR"/>
          <w:iCs/>
          <w:smallCaps/>
        </w:rPr>
        <w:t>Cohen’s Handbook of Federal Indian Law (</w:t>
      </w:r>
      <w:r w:rsidRPr="00072BAF">
        <w:rPr>
          <w:rFonts w:cs="Times New Roman TUR"/>
          <w:iCs/>
        </w:rPr>
        <w:t>LexisNexis 2005</w:t>
      </w:r>
      <w:r w:rsidRPr="00072BAF">
        <w:rPr>
          <w:rFonts w:cs="Times New Roman TUR"/>
          <w:iCs/>
          <w:smallCaps/>
        </w:rPr>
        <w:t>) (</w:t>
      </w:r>
      <w:r w:rsidRPr="00072BAF">
        <w:rPr>
          <w:rFonts w:cs="Times New Roman TUR"/>
          <w:iCs/>
        </w:rPr>
        <w:t>Co-author and member of Executive Editorial Board)</w:t>
      </w:r>
      <w:r w:rsidRPr="00072BAF">
        <w:rPr>
          <w:rFonts w:cs="Times New Roman TUR"/>
          <w:iCs/>
          <w:smallCaps/>
        </w:rPr>
        <w:t>.</w:t>
      </w:r>
    </w:p>
    <w:p w14:paraId="054E2B8A" w14:textId="77777777" w:rsidR="0069655E" w:rsidRDefault="0069655E" w:rsidP="0069655E">
      <w:pPr>
        <w:spacing w:line="240" w:lineRule="exact"/>
        <w:rPr>
          <w:rFonts w:cs="Times New Roman TUR"/>
          <w:iCs/>
          <w:smallCaps/>
        </w:rPr>
      </w:pPr>
    </w:p>
    <w:p w14:paraId="22E8FC57" w14:textId="3DF2551E" w:rsidR="0069655E" w:rsidRDefault="007615AB" w:rsidP="0069655E">
      <w:pPr>
        <w:spacing w:line="240" w:lineRule="exact"/>
        <w:rPr>
          <w:rFonts w:cs="Times New Roman TUR"/>
          <w:iCs/>
          <w:smallCaps/>
        </w:rPr>
      </w:pPr>
      <w:r w:rsidRPr="00072BAF">
        <w:rPr>
          <w:rFonts w:cs="Times New Roman TUR"/>
          <w:iCs/>
          <w:smallCaps/>
        </w:rPr>
        <w:t>Supp</w:t>
      </w:r>
      <w:r>
        <w:rPr>
          <w:rFonts w:cs="Times New Roman TUR"/>
          <w:iCs/>
          <w:smallCaps/>
        </w:rPr>
        <w:t>lements</w:t>
      </w:r>
      <w:r w:rsidRPr="00072BAF">
        <w:rPr>
          <w:rFonts w:cs="Times New Roman TUR"/>
          <w:iCs/>
          <w:smallCaps/>
        </w:rPr>
        <w:t xml:space="preserve"> to Cohen’s Handbook of Federal Indian Law (</w:t>
      </w:r>
      <w:r w:rsidRPr="00072BAF">
        <w:rPr>
          <w:rFonts w:cs="Times New Roman TUR"/>
          <w:iCs/>
        </w:rPr>
        <w:t>LexisNexis</w:t>
      </w:r>
      <w:r>
        <w:rPr>
          <w:rFonts w:cs="Times New Roman TUR"/>
          <w:iCs/>
        </w:rPr>
        <w:t xml:space="preserve"> 2007 &amp; 2009</w:t>
      </w:r>
      <w:r w:rsidRPr="00072BAF">
        <w:rPr>
          <w:rFonts w:cs="Times New Roman TUR"/>
          <w:iCs/>
          <w:smallCaps/>
        </w:rPr>
        <w:t>) (</w:t>
      </w:r>
      <w:r w:rsidRPr="00072BAF">
        <w:rPr>
          <w:rFonts w:cs="Times New Roman TUR"/>
          <w:iCs/>
        </w:rPr>
        <w:t>Co-author and member of Executive Editorial Board)</w:t>
      </w:r>
      <w:r w:rsidRPr="00072BAF">
        <w:rPr>
          <w:rFonts w:cs="Times New Roman TUR"/>
          <w:iCs/>
          <w:smallCaps/>
        </w:rPr>
        <w:t>.</w:t>
      </w:r>
    </w:p>
    <w:p w14:paraId="36EF9F97" w14:textId="77777777" w:rsidR="0069655E" w:rsidRPr="00072BAF" w:rsidRDefault="0069655E" w:rsidP="0069655E">
      <w:pPr>
        <w:spacing w:line="240" w:lineRule="exact"/>
        <w:rPr>
          <w:rFonts w:cs="Times New Roman TUR"/>
          <w:iCs/>
          <w:smallCaps/>
        </w:rPr>
      </w:pPr>
    </w:p>
    <w:p w14:paraId="13E7A8CA" w14:textId="1E8EF845" w:rsidR="00EC123B" w:rsidRDefault="007615AB" w:rsidP="0069655E">
      <w:pPr>
        <w:rPr>
          <w:iCs/>
          <w:u w:val="single"/>
        </w:rPr>
      </w:pPr>
      <w:r>
        <w:rPr>
          <w:iCs/>
          <w:u w:val="single"/>
        </w:rPr>
        <w:t>Articles</w:t>
      </w:r>
    </w:p>
    <w:p w14:paraId="3D7CEE17" w14:textId="46D87D07" w:rsidR="00263BC2" w:rsidRPr="00A52C72" w:rsidRDefault="00A52C72" w:rsidP="00A52C72">
      <w:pPr>
        <w:pStyle w:val="ArticleTitle"/>
        <w:rPr>
          <w:rFonts w:ascii="Times New Roman" w:hAnsi="Times New Roman"/>
          <w:b w:val="0"/>
          <w:bCs/>
          <w:sz w:val="24"/>
          <w:szCs w:val="24"/>
        </w:rPr>
      </w:pPr>
      <w:r w:rsidRPr="00A52C72">
        <w:rPr>
          <w:rFonts w:ascii="Times New Roman" w:hAnsi="Times New Roman"/>
          <w:b w:val="0"/>
          <w:bCs/>
          <w:i/>
          <w:iCs/>
          <w:sz w:val="24"/>
          <w:szCs w:val="24"/>
        </w:rPr>
        <w:t>The</w:t>
      </w:r>
      <w:r w:rsidRPr="00A52C7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52C72">
        <w:rPr>
          <w:rFonts w:ascii="Times New Roman" w:hAnsi="Times New Roman"/>
          <w:b w:val="0"/>
          <w:bCs/>
          <w:iCs/>
          <w:sz w:val="24"/>
          <w:szCs w:val="24"/>
        </w:rPr>
        <w:t>Katie John</w:t>
      </w:r>
      <w:r w:rsidRPr="00A52C7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52C72">
        <w:rPr>
          <w:rFonts w:ascii="Times New Roman" w:hAnsi="Times New Roman"/>
          <w:b w:val="0"/>
          <w:bCs/>
          <w:i/>
          <w:iCs/>
          <w:sz w:val="24"/>
          <w:szCs w:val="24"/>
        </w:rPr>
        <w:t>Litigation: A Continuing Search for Alaska Native Fishing Rights After ANCSA</w:t>
      </w:r>
      <w:r w:rsidR="00263BC2" w:rsidRPr="00A52C72">
        <w:rPr>
          <w:rFonts w:ascii="Times New Roman" w:hAnsi="Times New Roman"/>
          <w:b w:val="0"/>
          <w:bCs/>
          <w:color w:val="000000"/>
          <w:sz w:val="24"/>
          <w:szCs w:val="24"/>
        </w:rPr>
        <w:t>, 51 Ariz. St. L.J. 845 (2019).</w:t>
      </w:r>
    </w:p>
    <w:p w14:paraId="6C8FDB6A" w14:textId="1D1EB11A" w:rsidR="00CB7628" w:rsidRPr="00CB0A79" w:rsidRDefault="00CB0A79" w:rsidP="00263BC2">
      <w:r w:rsidRPr="0017129E">
        <w:rPr>
          <w:i/>
        </w:rPr>
        <w:t>Indigenous Rights to Water &amp; Environmental Protection</w:t>
      </w:r>
      <w:r w:rsidRPr="0017129E">
        <w:rPr>
          <w:smallCaps/>
        </w:rPr>
        <w:t xml:space="preserve">, </w:t>
      </w:r>
      <w:r w:rsidR="00F80F47">
        <w:rPr>
          <w:color w:val="222222"/>
          <w:shd w:val="clear" w:color="auto" w:fill="FFFFFF"/>
        </w:rPr>
        <w:t xml:space="preserve"> </w:t>
      </w:r>
      <w:r w:rsidR="00A825EE">
        <w:rPr>
          <w:color w:val="222222"/>
          <w:shd w:val="clear" w:color="auto" w:fill="FFFFFF"/>
        </w:rPr>
        <w:t>53</w:t>
      </w:r>
      <w:r w:rsidR="00F80F47">
        <w:rPr>
          <w:color w:val="222222"/>
          <w:shd w:val="clear" w:color="auto" w:fill="FFFFFF"/>
        </w:rPr>
        <w:t xml:space="preserve"> </w:t>
      </w:r>
      <w:r w:rsidR="0017129E" w:rsidRPr="0017129E">
        <w:rPr>
          <w:color w:val="222222"/>
          <w:shd w:val="clear" w:color="auto" w:fill="FFFFFF"/>
        </w:rPr>
        <w:t>Harv. C.R.-C.L. L. Rev</w:t>
      </w:r>
      <w:r w:rsidR="00F80F47">
        <w:rPr>
          <w:color w:val="222222"/>
          <w:shd w:val="clear" w:color="auto" w:fill="FFFFFF"/>
        </w:rPr>
        <w:t xml:space="preserve">. </w:t>
      </w:r>
      <w:r w:rsidR="00D8279F">
        <w:rPr>
          <w:color w:val="222222"/>
          <w:shd w:val="clear" w:color="auto" w:fill="FFFFFF"/>
        </w:rPr>
        <w:t>337</w:t>
      </w:r>
      <w:r w:rsidR="00085ED8">
        <w:rPr>
          <w:color w:val="222222"/>
          <w:shd w:val="clear" w:color="auto" w:fill="FFFFFF"/>
        </w:rPr>
        <w:t xml:space="preserve"> (2018</w:t>
      </w:r>
      <w:r w:rsidR="006E4704">
        <w:rPr>
          <w:color w:val="222222"/>
          <w:shd w:val="clear" w:color="auto" w:fill="FFFFFF"/>
        </w:rPr>
        <w:t>).</w:t>
      </w:r>
    </w:p>
    <w:p w14:paraId="3943020F" w14:textId="77777777" w:rsidR="00EC123B" w:rsidRPr="00CB0A79" w:rsidRDefault="00EC123B" w:rsidP="0069655E">
      <w:pPr>
        <w:rPr>
          <w:i/>
          <w:iCs/>
        </w:rPr>
      </w:pPr>
    </w:p>
    <w:p w14:paraId="00181B62" w14:textId="4D0FF4AD" w:rsidR="008905CC" w:rsidRDefault="00532A37" w:rsidP="00CF7736">
      <w:pPr>
        <w:pStyle w:val="uwls-Title"/>
        <w:spacing w:afterLines="0" w:after="0"/>
        <w:jc w:val="left"/>
        <w:rPr>
          <w:b w:val="0"/>
          <w:smallCaps w:val="0"/>
          <w:sz w:val="24"/>
          <w:szCs w:val="24"/>
        </w:rPr>
      </w:pPr>
      <w:r w:rsidRPr="00FB50C3">
        <w:rPr>
          <w:rFonts w:eastAsia="Times New Roman"/>
          <w:b w:val="0"/>
          <w:i/>
          <w:smallCaps w:val="0"/>
          <w:sz w:val="24"/>
          <w:szCs w:val="24"/>
        </w:rPr>
        <w:t>Protecting</w:t>
      </w:r>
      <w:r w:rsidR="00CF7736" w:rsidRPr="00FB50C3">
        <w:rPr>
          <w:rFonts w:eastAsia="Times New Roman"/>
          <w:b w:val="0"/>
          <w:i/>
          <w:smallCaps w:val="0"/>
          <w:sz w:val="24"/>
          <w:szCs w:val="24"/>
        </w:rPr>
        <w:t xml:space="preserve"> Offshore Areas from Oil and Gas Leasing: Presidential Authority Under the Outer Continental Shelf Lands Act and the Antiquities Act</w:t>
      </w:r>
      <w:r w:rsidR="008905CC" w:rsidRPr="00FB50C3">
        <w:rPr>
          <w:b w:val="0"/>
          <w:i/>
          <w:smallCaps w:val="0"/>
          <w:sz w:val="24"/>
          <w:szCs w:val="24"/>
        </w:rPr>
        <w:t>,</w:t>
      </w:r>
      <w:r w:rsidR="005A43EC" w:rsidRPr="00FB50C3">
        <w:rPr>
          <w:b w:val="0"/>
          <w:smallCaps w:val="0"/>
          <w:sz w:val="24"/>
          <w:szCs w:val="24"/>
        </w:rPr>
        <w:t xml:space="preserve"> 44</w:t>
      </w:r>
      <w:r w:rsidR="008905CC" w:rsidRPr="00FB50C3">
        <w:rPr>
          <w:b w:val="0"/>
          <w:smallCaps w:val="0"/>
          <w:sz w:val="24"/>
          <w:szCs w:val="24"/>
        </w:rPr>
        <w:t xml:space="preserve"> Ec</w:t>
      </w:r>
      <w:r w:rsidR="00163662" w:rsidRPr="00FB50C3">
        <w:rPr>
          <w:b w:val="0"/>
          <w:smallCaps w:val="0"/>
          <w:sz w:val="24"/>
          <w:szCs w:val="24"/>
        </w:rPr>
        <w:t>ology</w:t>
      </w:r>
      <w:r w:rsidR="00085ED8">
        <w:rPr>
          <w:b w:val="0"/>
          <w:smallCaps w:val="0"/>
          <w:sz w:val="24"/>
          <w:szCs w:val="24"/>
        </w:rPr>
        <w:t xml:space="preserve"> L.Q. 727</w:t>
      </w:r>
      <w:r w:rsidR="00CB7628">
        <w:rPr>
          <w:b w:val="0"/>
          <w:smallCaps w:val="0"/>
          <w:sz w:val="24"/>
          <w:szCs w:val="24"/>
        </w:rPr>
        <w:t xml:space="preserve"> </w:t>
      </w:r>
      <w:r w:rsidR="005A43EC" w:rsidRPr="00FB50C3">
        <w:rPr>
          <w:b w:val="0"/>
          <w:smallCaps w:val="0"/>
          <w:sz w:val="24"/>
          <w:szCs w:val="24"/>
        </w:rPr>
        <w:t>(</w:t>
      </w:r>
      <w:r w:rsidR="006E4704">
        <w:rPr>
          <w:b w:val="0"/>
          <w:smallCaps w:val="0"/>
          <w:sz w:val="24"/>
          <w:szCs w:val="24"/>
        </w:rPr>
        <w:t>2018</w:t>
      </w:r>
      <w:r w:rsidR="00163662" w:rsidRPr="00FB50C3">
        <w:rPr>
          <w:b w:val="0"/>
          <w:smallCaps w:val="0"/>
          <w:sz w:val="24"/>
          <w:szCs w:val="24"/>
        </w:rPr>
        <w:t>).</w:t>
      </w:r>
    </w:p>
    <w:p w14:paraId="782A65F7" w14:textId="0D969BC3" w:rsidR="00DF2489" w:rsidRDefault="00DF2489" w:rsidP="00DF2489">
      <w:pPr>
        <w:rPr>
          <w:lang w:eastAsia="ja-JP"/>
        </w:rPr>
      </w:pPr>
    </w:p>
    <w:p w14:paraId="65E23206" w14:textId="6BFDDC53" w:rsidR="00DF2489" w:rsidRPr="00DF2489" w:rsidRDefault="00DF2489" w:rsidP="00DF2489">
      <w:pPr>
        <w:rPr>
          <w:color w:val="222222"/>
        </w:rPr>
      </w:pPr>
      <w:r w:rsidRPr="00DF2489">
        <w:rPr>
          <w:bCs/>
          <w:color w:val="222222"/>
        </w:rPr>
        <w:t xml:space="preserve">Philip Womble, Debra Perrone, Scott Jasechko, Rebecca L. Nelson, Leon F. Szeptycki, Robert T. Anderson &amp; Steven M. Gorellick, </w:t>
      </w:r>
      <w:r w:rsidRPr="00DF2489">
        <w:rPr>
          <w:bCs/>
          <w:i/>
          <w:color w:val="222222"/>
        </w:rPr>
        <w:t>Indigenous Communities, Groundwater Opportunities: A U.S. Court Decision Unlocks Vast Potential to Improve Sustainable Freshwater Management</w:t>
      </w:r>
      <w:r w:rsidRPr="00DF2489">
        <w:rPr>
          <w:bCs/>
          <w:color w:val="222222"/>
        </w:rPr>
        <w:t>, 361 Science 453 (2018).</w:t>
      </w:r>
    </w:p>
    <w:p w14:paraId="37DF250A" w14:textId="77777777" w:rsidR="008905CC" w:rsidRDefault="008905CC" w:rsidP="00404B3D">
      <w:pPr>
        <w:rPr>
          <w:i/>
        </w:rPr>
      </w:pPr>
    </w:p>
    <w:p w14:paraId="1AB2A414" w14:textId="76B02222" w:rsidR="00404B3D" w:rsidRPr="00404B3D" w:rsidRDefault="00404B3D" w:rsidP="00404B3D">
      <w:r w:rsidRPr="00404B3D">
        <w:rPr>
          <w:i/>
        </w:rPr>
        <w:lastRenderedPageBreak/>
        <w:t>Sovereignty and Subsistence: Native Self-Government and Rights to Hunt, Fish, and Gather After ANCSA</w:t>
      </w:r>
      <w:r w:rsidR="008654A1">
        <w:t xml:space="preserve">, </w:t>
      </w:r>
      <w:r w:rsidR="006A0303">
        <w:t>33 Alaska L. Rev.</w:t>
      </w:r>
      <w:r w:rsidR="00B5078B">
        <w:t xml:space="preserve"> 187</w:t>
      </w:r>
      <w:r w:rsidR="006A0303">
        <w:t xml:space="preserve"> (2016).</w:t>
      </w:r>
    </w:p>
    <w:p w14:paraId="0D9302F1" w14:textId="77777777" w:rsidR="00404B3D" w:rsidRPr="00404B3D" w:rsidRDefault="00404B3D" w:rsidP="0069655E">
      <w:pPr>
        <w:rPr>
          <w:i/>
          <w:iCs/>
        </w:rPr>
      </w:pPr>
    </w:p>
    <w:p w14:paraId="7351DAC6" w14:textId="4CDCC7DA" w:rsidR="00291618" w:rsidRDefault="00291618" w:rsidP="006D2B20">
      <w:pPr>
        <w:pStyle w:val="rta-Title"/>
        <w:spacing w:afterLines="0" w:after="0"/>
        <w:jc w:val="left"/>
        <w:rPr>
          <w:b w:val="0"/>
          <w:color w:val="1A1A1A"/>
          <w:sz w:val="24"/>
          <w:szCs w:val="24"/>
          <w:lang w:eastAsia="zh-CN"/>
        </w:rPr>
      </w:pPr>
      <w:r w:rsidRPr="001901C8">
        <w:rPr>
          <w:b w:val="0"/>
          <w:i/>
          <w:iCs/>
          <w:smallCaps w:val="0"/>
          <w:color w:val="1A1A1A"/>
          <w:sz w:val="24"/>
          <w:szCs w:val="24"/>
          <w:lang w:eastAsia="zh-CN"/>
        </w:rPr>
        <w:t>Federal Treaty and Trust Obligations, and Ocean Acidification</w:t>
      </w:r>
      <w:r w:rsidRPr="00291618">
        <w:rPr>
          <w:b w:val="0"/>
          <w:color w:val="1A1A1A"/>
          <w:sz w:val="24"/>
          <w:szCs w:val="24"/>
          <w:lang w:eastAsia="zh-CN"/>
        </w:rPr>
        <w:t>, 6 Wash. J. Envtl. Law &amp; Pol’y 474 (2016).</w:t>
      </w:r>
    </w:p>
    <w:p w14:paraId="2FCDE64F" w14:textId="77777777" w:rsidR="006D2B20" w:rsidRPr="006D2B20" w:rsidRDefault="006D2B20" w:rsidP="006D2B20"/>
    <w:p w14:paraId="00015894" w14:textId="7FCD5194" w:rsidR="00450390" w:rsidRDefault="00450390" w:rsidP="006D2B20">
      <w:pPr>
        <w:pStyle w:val="rta-Title"/>
        <w:spacing w:afterLines="0" w:after="0"/>
        <w:jc w:val="left"/>
        <w:rPr>
          <w:b w:val="0"/>
          <w:iCs/>
          <w:smallCaps w:val="0"/>
          <w:color w:val="000000"/>
          <w:sz w:val="24"/>
          <w:szCs w:val="24"/>
        </w:rPr>
      </w:pPr>
      <w:r w:rsidRPr="00450390">
        <w:rPr>
          <w:b w:val="0"/>
          <w:i/>
          <w:iCs/>
          <w:smallCaps w:val="0"/>
          <w:color w:val="000000"/>
          <w:sz w:val="24"/>
          <w:szCs w:val="24"/>
        </w:rPr>
        <w:t>Water Rights, Water Quality</w:t>
      </w:r>
      <w:r>
        <w:rPr>
          <w:b w:val="0"/>
          <w:i/>
          <w:iCs/>
          <w:smallCaps w:val="0"/>
          <w:color w:val="000000"/>
          <w:sz w:val="24"/>
          <w:szCs w:val="24"/>
        </w:rPr>
        <w:t xml:space="preserve">, and </w:t>
      </w:r>
      <w:r w:rsidR="00A15567">
        <w:rPr>
          <w:b w:val="0"/>
          <w:i/>
          <w:iCs/>
          <w:smallCaps w:val="0"/>
          <w:color w:val="000000"/>
          <w:sz w:val="24"/>
          <w:szCs w:val="24"/>
        </w:rPr>
        <w:t xml:space="preserve">Regulatory </w:t>
      </w:r>
      <w:r w:rsidRPr="00450390">
        <w:rPr>
          <w:b w:val="0"/>
          <w:i/>
          <w:iCs/>
          <w:smallCaps w:val="0"/>
          <w:color w:val="000000"/>
          <w:sz w:val="24"/>
          <w:szCs w:val="24"/>
        </w:rPr>
        <w:t>Jurisdiction in Indian Country</w:t>
      </w:r>
      <w:r w:rsidR="0071445E">
        <w:rPr>
          <w:b w:val="0"/>
          <w:iCs/>
          <w:smallCaps w:val="0"/>
          <w:color w:val="000000"/>
          <w:sz w:val="24"/>
          <w:szCs w:val="24"/>
        </w:rPr>
        <w:t xml:space="preserve">, 34 </w:t>
      </w:r>
      <w:r w:rsidR="0071445E" w:rsidRPr="00E73286">
        <w:rPr>
          <w:b w:val="0"/>
          <w:iCs/>
          <w:color w:val="000000"/>
          <w:sz w:val="24"/>
          <w:szCs w:val="24"/>
        </w:rPr>
        <w:t>Stan. Envtl. L. J</w:t>
      </w:r>
      <w:r w:rsidR="0071445E">
        <w:rPr>
          <w:b w:val="0"/>
          <w:iCs/>
          <w:smallCaps w:val="0"/>
          <w:color w:val="000000"/>
          <w:sz w:val="24"/>
          <w:szCs w:val="24"/>
        </w:rPr>
        <w:t>. 195</w:t>
      </w:r>
      <w:r w:rsidR="00D231CE">
        <w:rPr>
          <w:b w:val="0"/>
          <w:iCs/>
          <w:smallCaps w:val="0"/>
          <w:color w:val="000000"/>
          <w:sz w:val="24"/>
          <w:szCs w:val="24"/>
        </w:rPr>
        <w:t xml:space="preserve"> (2015).</w:t>
      </w:r>
    </w:p>
    <w:p w14:paraId="09093DA5" w14:textId="77777777" w:rsidR="006D2B20" w:rsidRPr="006D2B20" w:rsidRDefault="006D2B20" w:rsidP="006D2B20"/>
    <w:p w14:paraId="0802955A" w14:textId="38609455" w:rsidR="00E6177D" w:rsidRDefault="00E6177D" w:rsidP="006D2B20">
      <w:pPr>
        <w:rPr>
          <w:iCs/>
        </w:rPr>
      </w:pPr>
      <w:r>
        <w:rPr>
          <w:i/>
          <w:iCs/>
        </w:rPr>
        <w:t>Negotiating Jurisdiction: Retroceding State Authority Over Indian Country Granted by Public Law 280</w:t>
      </w:r>
      <w:r>
        <w:rPr>
          <w:iCs/>
        </w:rPr>
        <w:t xml:space="preserve">, 87 </w:t>
      </w:r>
      <w:r w:rsidRPr="00CA710A">
        <w:rPr>
          <w:iCs/>
          <w:smallCaps/>
        </w:rPr>
        <w:t>Wash. L. Rev</w:t>
      </w:r>
      <w:r>
        <w:rPr>
          <w:iCs/>
        </w:rPr>
        <w:t xml:space="preserve">. </w:t>
      </w:r>
      <w:r w:rsidR="00595DCE">
        <w:rPr>
          <w:iCs/>
        </w:rPr>
        <w:t>915 (2012).</w:t>
      </w:r>
    </w:p>
    <w:p w14:paraId="428E875B" w14:textId="77777777" w:rsidR="006D2B20" w:rsidRPr="00E6177D" w:rsidRDefault="006D2B20" w:rsidP="006D2B20">
      <w:pPr>
        <w:rPr>
          <w:iCs/>
        </w:rPr>
      </w:pPr>
    </w:p>
    <w:p w14:paraId="32C72FC3" w14:textId="1D509B3F" w:rsidR="0069655E" w:rsidRDefault="007615AB" w:rsidP="006D2B20">
      <w:pPr>
        <w:rPr>
          <w:iCs/>
        </w:rPr>
      </w:pPr>
      <w:r w:rsidRPr="00A12F50">
        <w:rPr>
          <w:i/>
          <w:iCs/>
        </w:rPr>
        <w:t xml:space="preserve">Indian Water Rights, Practical Reasoning and Negotiated Settlements, </w:t>
      </w:r>
      <w:r>
        <w:rPr>
          <w:iCs/>
        </w:rPr>
        <w:t xml:space="preserve">98 </w:t>
      </w:r>
      <w:r w:rsidRPr="00097A1D">
        <w:rPr>
          <w:iCs/>
          <w:smallCaps/>
        </w:rPr>
        <w:t>Cal. L. Rev</w:t>
      </w:r>
      <w:r>
        <w:rPr>
          <w:iCs/>
        </w:rPr>
        <w:t>. 1133 (2010)</w:t>
      </w:r>
      <w:r w:rsidR="00595DCE">
        <w:rPr>
          <w:iCs/>
        </w:rPr>
        <w:t>.</w:t>
      </w:r>
    </w:p>
    <w:p w14:paraId="70EB9289" w14:textId="77777777" w:rsidR="006D2B20" w:rsidRPr="00A12F50" w:rsidRDefault="006D2B20" w:rsidP="006D2B20">
      <w:pPr>
        <w:rPr>
          <w:i/>
          <w:iCs/>
        </w:rPr>
      </w:pPr>
    </w:p>
    <w:p w14:paraId="31BFDD96" w14:textId="77777777" w:rsidR="0069655E" w:rsidRDefault="007615AB" w:rsidP="006D2B20">
      <w:pPr>
        <w:rPr>
          <w:iCs/>
        </w:rPr>
      </w:pPr>
      <w:r w:rsidRPr="006D7469">
        <w:rPr>
          <w:i/>
          <w:iCs/>
        </w:rPr>
        <w:t>Alaska Native Rights, Statehood and Unfinished Business,</w:t>
      </w:r>
      <w:r w:rsidRPr="006D7469">
        <w:rPr>
          <w:iCs/>
        </w:rPr>
        <w:t xml:space="preserve"> 43 </w:t>
      </w:r>
      <w:r w:rsidRPr="00097A1D">
        <w:rPr>
          <w:iCs/>
          <w:smallCaps/>
        </w:rPr>
        <w:t>Tulsa L. Rev</w:t>
      </w:r>
      <w:r w:rsidRPr="006D7469">
        <w:rPr>
          <w:iCs/>
        </w:rPr>
        <w:t>. 17 (2007).</w:t>
      </w:r>
    </w:p>
    <w:p w14:paraId="251C66B7" w14:textId="77777777" w:rsidR="006D2B20" w:rsidRDefault="006D2B20" w:rsidP="006D2B20">
      <w:pPr>
        <w:rPr>
          <w:i/>
          <w:iCs/>
        </w:rPr>
      </w:pPr>
    </w:p>
    <w:p w14:paraId="4E03B9C0" w14:textId="77777777" w:rsidR="0069655E" w:rsidRDefault="007615AB" w:rsidP="006D2B20">
      <w:r w:rsidRPr="00072BAF">
        <w:rPr>
          <w:i/>
        </w:rPr>
        <w:t>Indian Water Rights and the Federal Trust Responsibility</w:t>
      </w:r>
      <w:r w:rsidRPr="00072BAF">
        <w:rPr>
          <w:smallCaps/>
        </w:rPr>
        <w:t>, 46 Nat. Resources J. 399 (2006)</w:t>
      </w:r>
      <w:r w:rsidRPr="00072BAF">
        <w:t>.</w:t>
      </w:r>
    </w:p>
    <w:p w14:paraId="4D9D4196" w14:textId="77777777" w:rsidR="006D2B20" w:rsidRPr="00072BAF" w:rsidRDefault="006D2B20" w:rsidP="006D2B20">
      <w:pPr>
        <w:rPr>
          <w:rFonts w:cs="Times New Roman TUR"/>
          <w:i/>
          <w:iCs/>
        </w:rPr>
      </w:pPr>
    </w:p>
    <w:p w14:paraId="2D4C62D1" w14:textId="77777777" w:rsidR="0069655E" w:rsidRPr="00072BAF" w:rsidRDefault="007615AB" w:rsidP="006D2B20">
      <w:r w:rsidRPr="00072BAF">
        <w:rPr>
          <w:i/>
        </w:rPr>
        <w:t>Indian Water Rights:  Litigation and Settlements</w:t>
      </w:r>
      <w:r w:rsidRPr="00072BAF">
        <w:t xml:space="preserve">, 42 </w:t>
      </w:r>
      <w:r w:rsidRPr="00097A1D">
        <w:rPr>
          <w:smallCaps/>
        </w:rPr>
        <w:t>Tulsa L. Rev</w:t>
      </w:r>
      <w:r w:rsidRPr="00072BAF">
        <w:t>. 23 (2006).</w:t>
      </w:r>
    </w:p>
    <w:p w14:paraId="078C66AC" w14:textId="249C9A19" w:rsidR="000832FE" w:rsidRPr="005F2BE5" w:rsidRDefault="007615AB" w:rsidP="005F2BE5">
      <w:pPr>
        <w:rPr>
          <w:i/>
          <w:iCs/>
        </w:rPr>
      </w:pPr>
      <w:r w:rsidRPr="0083479E">
        <w:rPr>
          <w:i/>
          <w:iCs/>
        </w:rPr>
        <w:t>The New Realism:</w:t>
      </w:r>
      <w:r>
        <w:rPr>
          <w:i/>
          <w:iCs/>
        </w:rPr>
        <w:t xml:space="preserve"> </w:t>
      </w:r>
      <w:r w:rsidRPr="0083479E">
        <w:rPr>
          <w:i/>
          <w:iCs/>
        </w:rPr>
        <w:t xml:space="preserve"> The Next Generation of Scholarship in Federal Indian Law</w:t>
      </w:r>
      <w:r w:rsidRPr="0083479E">
        <w:t xml:space="preserve">, 32 </w:t>
      </w:r>
      <w:r w:rsidRPr="00097A1D">
        <w:rPr>
          <w:smallCaps/>
        </w:rPr>
        <w:t>Am. Ind. L. Rev</w:t>
      </w:r>
      <w:r w:rsidRPr="0083479E">
        <w:t>. 1, 130-36 (2007-08) (transcript of speech).</w:t>
      </w:r>
    </w:p>
    <w:p w14:paraId="7E6046C2" w14:textId="77777777" w:rsidR="006D2B20" w:rsidRPr="0083479E" w:rsidRDefault="006D2B20" w:rsidP="006D2B20"/>
    <w:p w14:paraId="4AC024E3" w14:textId="77777777" w:rsidR="0069655E" w:rsidRPr="00072BAF" w:rsidRDefault="007615AB" w:rsidP="006D2B20">
      <w:pPr>
        <w:rPr>
          <w:rFonts w:cs="Times New Roman TUR"/>
          <w:iCs/>
        </w:rPr>
      </w:pPr>
      <w:r w:rsidRPr="00072BAF">
        <w:rPr>
          <w:i/>
        </w:rPr>
        <w:t>Criminal Jurisdiction, Tribal Courts and Public Defenders,</w:t>
      </w:r>
      <w:r w:rsidRPr="00072BAF">
        <w:rPr>
          <w:iCs/>
        </w:rPr>
        <w:t xml:space="preserve"> 13 </w:t>
      </w:r>
      <w:r w:rsidRPr="00097A1D">
        <w:rPr>
          <w:iCs/>
          <w:smallCaps/>
        </w:rPr>
        <w:t>Kan. J.L. &amp; Pub. Pol’y</w:t>
      </w:r>
      <w:r w:rsidRPr="00072BAF">
        <w:rPr>
          <w:iCs/>
        </w:rPr>
        <w:t xml:space="preserve"> 139 (2003).</w:t>
      </w:r>
    </w:p>
    <w:p w14:paraId="4919C9CE" w14:textId="0E6D585A" w:rsidR="00592CF9" w:rsidRDefault="007615AB" w:rsidP="00F34867">
      <w:pPr>
        <w:spacing w:before="240"/>
        <w:rPr>
          <w:rFonts w:cs="Times New Roman TUR"/>
          <w:iCs/>
        </w:rPr>
      </w:pPr>
      <w:r w:rsidRPr="00A12F50">
        <w:rPr>
          <w:rFonts w:cs="Times New Roman TUR"/>
          <w:i/>
          <w:iCs/>
        </w:rPr>
        <w:t xml:space="preserve">Book Review of </w:t>
      </w:r>
      <w:r w:rsidRPr="00A12F50">
        <w:rPr>
          <w:rFonts w:cs="Times New Roman TUR"/>
          <w:i/>
          <w:iCs/>
          <w:smallCaps/>
        </w:rPr>
        <w:t>American Indians and State Law:  Sovereignty, Race and Citizenship</w:t>
      </w:r>
      <w:r w:rsidRPr="00A12F50">
        <w:rPr>
          <w:rFonts w:cs="Times New Roman TUR"/>
          <w:i/>
          <w:iCs/>
        </w:rPr>
        <w:t xml:space="preserve">, 1790-1880, </w:t>
      </w:r>
      <w:r w:rsidRPr="00097A1D">
        <w:rPr>
          <w:rFonts w:cs="Times New Roman TUR"/>
          <w:iCs/>
        </w:rPr>
        <w:t xml:space="preserve">84 </w:t>
      </w:r>
      <w:r w:rsidRPr="00097A1D">
        <w:rPr>
          <w:rFonts w:cs="Times New Roman TUR"/>
          <w:iCs/>
          <w:smallCaps/>
        </w:rPr>
        <w:t>New Mexico Historical Review</w:t>
      </w:r>
      <w:r w:rsidRPr="00097A1D">
        <w:rPr>
          <w:rFonts w:cs="Times New Roman TUR"/>
          <w:iCs/>
        </w:rPr>
        <w:t xml:space="preserve"> 450 (2009)</w:t>
      </w:r>
      <w:r w:rsidR="00592CF9">
        <w:rPr>
          <w:rFonts w:cs="Times New Roman TUR"/>
          <w:iCs/>
        </w:rPr>
        <w:t>.</w:t>
      </w:r>
    </w:p>
    <w:p w14:paraId="13E3251A" w14:textId="77777777" w:rsidR="008F4F42" w:rsidRPr="00592CF9" w:rsidRDefault="008F4F42" w:rsidP="006D2B20">
      <w:pPr>
        <w:rPr>
          <w:rFonts w:cs="Times New Roman TUR"/>
          <w:iCs/>
        </w:rPr>
      </w:pPr>
    </w:p>
    <w:p w14:paraId="53649DE7" w14:textId="77777777" w:rsidR="008F4F42" w:rsidRDefault="007615AB" w:rsidP="006D2B20">
      <w:pPr>
        <w:rPr>
          <w:rFonts w:cs="Times New Roman TUR"/>
          <w:iCs/>
        </w:rPr>
      </w:pPr>
      <w:r w:rsidRPr="002A78A5">
        <w:rPr>
          <w:rFonts w:cs="Times New Roman TUR"/>
          <w:i/>
          <w:iCs/>
        </w:rPr>
        <w:t xml:space="preserve">Book Review of </w:t>
      </w:r>
      <w:r w:rsidRPr="00CA710A">
        <w:rPr>
          <w:rFonts w:cs="Times New Roman TUR"/>
          <w:i/>
          <w:iCs/>
          <w:smallCaps/>
        </w:rPr>
        <w:t>Tribal Water Rights:  Essays in Contemporary Law, Policy, and Economics</w:t>
      </w:r>
      <w:r w:rsidRPr="002A78A5">
        <w:rPr>
          <w:rFonts w:cs="Times New Roman TUR"/>
          <w:iCs/>
        </w:rPr>
        <w:t xml:space="preserve">, 31 </w:t>
      </w:r>
      <w:r w:rsidRPr="00097A1D">
        <w:rPr>
          <w:rFonts w:cs="Times New Roman TUR"/>
          <w:iCs/>
          <w:smallCaps/>
        </w:rPr>
        <w:t xml:space="preserve">American Indian Culture and Research Journal </w:t>
      </w:r>
      <w:r>
        <w:rPr>
          <w:rFonts w:cs="Times New Roman TUR"/>
          <w:iCs/>
        </w:rPr>
        <w:t>No. 1</w:t>
      </w:r>
      <w:r w:rsidRPr="002A78A5">
        <w:rPr>
          <w:rFonts w:cs="Times New Roman TUR"/>
          <w:i/>
          <w:iCs/>
        </w:rPr>
        <w:t xml:space="preserve"> </w:t>
      </w:r>
      <w:r w:rsidRPr="002A78A5">
        <w:rPr>
          <w:rFonts w:cs="Times New Roman TUR"/>
          <w:iCs/>
        </w:rPr>
        <w:t xml:space="preserve">(UCLA </w:t>
      </w:r>
      <w:r>
        <w:rPr>
          <w:rFonts w:cs="Times New Roman TUR"/>
          <w:iCs/>
        </w:rPr>
        <w:t>2007</w:t>
      </w:r>
      <w:r w:rsidRPr="002A78A5">
        <w:rPr>
          <w:rFonts w:cs="Times New Roman TUR"/>
          <w:iCs/>
        </w:rPr>
        <w:t>)</w:t>
      </w:r>
      <w:r>
        <w:rPr>
          <w:rFonts w:cs="Times New Roman TUR"/>
          <w:iCs/>
        </w:rPr>
        <w:t>.</w:t>
      </w:r>
    </w:p>
    <w:p w14:paraId="14B53183" w14:textId="560A8C25" w:rsidR="0069655E" w:rsidRPr="008F4F42" w:rsidRDefault="007615AB" w:rsidP="00F34867">
      <w:pPr>
        <w:spacing w:before="240"/>
        <w:rPr>
          <w:rFonts w:cs="Times New Roman TUR"/>
          <w:iCs/>
        </w:rPr>
      </w:pPr>
      <w:r w:rsidRPr="002A78A5">
        <w:rPr>
          <w:rFonts w:cs="Times New Roman TUR"/>
          <w:i/>
          <w:iCs/>
        </w:rPr>
        <w:t xml:space="preserve">Book Review of </w:t>
      </w:r>
      <w:r w:rsidR="00CA710A">
        <w:rPr>
          <w:rFonts w:cs="Times New Roman TUR"/>
          <w:i/>
          <w:iCs/>
          <w:smallCaps/>
        </w:rPr>
        <w:t xml:space="preserve">Alaska Natives and American </w:t>
      </w:r>
      <w:r w:rsidRPr="00A12F50">
        <w:rPr>
          <w:rFonts w:cs="Times New Roman TUR"/>
          <w:i/>
          <w:iCs/>
          <w:smallCaps/>
        </w:rPr>
        <w:t>Laws</w:t>
      </w:r>
      <w:r w:rsidRPr="002A78A5">
        <w:rPr>
          <w:rFonts w:cs="Times New Roman TUR"/>
          <w:i/>
          <w:iCs/>
        </w:rPr>
        <w:t>,</w:t>
      </w:r>
      <w:r w:rsidRPr="002A78A5">
        <w:rPr>
          <w:rFonts w:cs="Times New Roman TUR"/>
        </w:rPr>
        <w:t xml:space="preserve"> 18 </w:t>
      </w:r>
      <w:r w:rsidRPr="00097A1D">
        <w:rPr>
          <w:rFonts w:cs="Times New Roman TUR"/>
          <w:smallCaps/>
        </w:rPr>
        <w:t>Alaska L. Rev</w:t>
      </w:r>
      <w:r w:rsidRPr="002A78A5">
        <w:rPr>
          <w:rFonts w:cs="Times New Roman TUR"/>
        </w:rPr>
        <w:t>. 317 (2001).</w:t>
      </w:r>
    </w:p>
    <w:p w14:paraId="063935B3" w14:textId="77777777" w:rsidR="0069655E" w:rsidRPr="00072BAF" w:rsidRDefault="0069655E" w:rsidP="006D2B20">
      <w:pPr>
        <w:rPr>
          <w:rFonts w:cs="Times New Roman TUR"/>
        </w:rPr>
      </w:pPr>
    </w:p>
    <w:p w14:paraId="5BCDD5F6" w14:textId="14ADF23A" w:rsidR="0069655E" w:rsidRDefault="009D0741" w:rsidP="0069655E">
      <w:pPr>
        <w:spacing w:line="240" w:lineRule="exact"/>
        <w:rPr>
          <w:rFonts w:cs="Times New Roman TUR"/>
          <w:u w:val="single"/>
        </w:rPr>
      </w:pPr>
      <w:r w:rsidRPr="009D0741">
        <w:rPr>
          <w:rFonts w:cs="Times New Roman TUR"/>
          <w:u w:val="single"/>
        </w:rPr>
        <w:t>Reports</w:t>
      </w:r>
    </w:p>
    <w:p w14:paraId="548927B4" w14:textId="40E732BA" w:rsidR="009D0741" w:rsidRPr="009D0741" w:rsidRDefault="009D0741" w:rsidP="00CA710A">
      <w:pPr>
        <w:spacing w:before="240"/>
        <w:rPr>
          <w:lang w:eastAsia="zh-CN"/>
        </w:rPr>
      </w:pPr>
      <w:r w:rsidRPr="009D0741">
        <w:rPr>
          <w:lang w:eastAsia="zh-CN"/>
        </w:rPr>
        <w:t>REPORT OF THE COMMISSION ON INDIAN TRUST</w:t>
      </w:r>
      <w:r>
        <w:rPr>
          <w:lang w:eastAsia="zh-CN"/>
        </w:rPr>
        <w:t xml:space="preserve"> ADMINISTRATION AND REFORM, </w:t>
      </w:r>
      <w:r w:rsidRPr="009D0741">
        <w:rPr>
          <w:lang w:eastAsia="zh-CN"/>
        </w:rPr>
        <w:t>Department of the Interior</w:t>
      </w:r>
      <w:r>
        <w:rPr>
          <w:lang w:eastAsia="zh-CN"/>
        </w:rPr>
        <w:t xml:space="preserve">, </w:t>
      </w:r>
      <w:r w:rsidRPr="009D0741">
        <w:rPr>
          <w:lang w:eastAsia="zh-CN"/>
        </w:rPr>
        <w:t>Final Report, Approved by the Commission, December 10, 2013</w:t>
      </w:r>
      <w:r w:rsidR="00E73286">
        <w:rPr>
          <w:lang w:eastAsia="zh-CN"/>
        </w:rPr>
        <w:t xml:space="preserve"> (Primary Author and Editor). </w:t>
      </w:r>
      <w:r>
        <w:rPr>
          <w:lang w:eastAsia="zh-CN"/>
        </w:rPr>
        <w:t xml:space="preserve"> </w:t>
      </w:r>
      <w:r w:rsidRPr="009D0741">
        <w:rPr>
          <w:rFonts w:cs="Times New Roman TUR"/>
          <w:u w:val="single"/>
        </w:rPr>
        <w:t>http://www.interior.gov/cobell/commission/index.cfm</w:t>
      </w:r>
    </w:p>
    <w:p w14:paraId="6D4C7037" w14:textId="40A5CE57" w:rsidR="0069655E" w:rsidRPr="00CB4BD4" w:rsidRDefault="0069655E" w:rsidP="005D340A">
      <w:pPr>
        <w:spacing w:before="240"/>
        <w:rPr>
          <w:rFonts w:cs="Times New Roman TUR"/>
        </w:rPr>
      </w:pPr>
    </w:p>
    <w:sectPr w:rsidR="0069655E" w:rsidRPr="00CB4BD4" w:rsidSect="00117F04">
      <w:headerReference w:type="default" r:id="rId8"/>
      <w:footerReference w:type="even" r:id="rId9"/>
      <w:footerReference w:type="first" r:id="rId10"/>
      <w:endnotePr>
        <w:numFmt w:val="decimal"/>
      </w:endnotePr>
      <w:pgSz w:w="12240" w:h="15840" w:code="1"/>
      <w:pgMar w:top="994" w:right="1440" w:bottom="907" w:left="1440" w:header="864" w:footer="23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1870" w14:textId="77777777" w:rsidR="0052530A" w:rsidRDefault="0052530A">
      <w:r>
        <w:separator/>
      </w:r>
    </w:p>
  </w:endnote>
  <w:endnote w:type="continuationSeparator" w:id="0">
    <w:p w14:paraId="2AC617B2" w14:textId="77777777" w:rsidR="0052530A" w:rsidRDefault="0052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E2EB" w14:textId="77777777" w:rsidR="00895C8C" w:rsidRDefault="00895C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B807FF" w14:textId="77777777" w:rsidR="00895C8C" w:rsidRDefault="00895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74B8" w14:textId="462BCA4C" w:rsidR="00895C8C" w:rsidRDefault="00895C8C" w:rsidP="00117F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9617" w14:textId="77777777" w:rsidR="0052530A" w:rsidRDefault="0052530A">
      <w:r>
        <w:separator/>
      </w:r>
    </w:p>
  </w:footnote>
  <w:footnote w:type="continuationSeparator" w:id="0">
    <w:p w14:paraId="5F1C2FE3" w14:textId="77777777" w:rsidR="0052530A" w:rsidRDefault="0052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D588" w14:textId="00D2F383" w:rsidR="00895C8C" w:rsidRPr="00097A1D" w:rsidRDefault="00895C8C" w:rsidP="0069655E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</w:rPr>
    </w:pPr>
    <w:r w:rsidRPr="00097A1D">
      <w:rPr>
        <w:rFonts w:ascii="Times New Roman" w:hAnsi="Times New Roman"/>
      </w:rPr>
      <w:t>Robert T. Anderson</w:t>
    </w:r>
    <w:r>
      <w:tab/>
    </w:r>
    <w:r w:rsidRPr="00097A1D">
      <w:rPr>
        <w:rFonts w:ascii="Times New Roman" w:hAnsi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BC7D7C" w:rsidRPr="00BC7D7C">
      <w:rPr>
        <w:rFonts w:ascii="Times New Roman" w:hAnsi="Times New Roman"/>
        <w:noProof/>
      </w:rPr>
      <w:t>15</w:t>
    </w:r>
    <w:r>
      <w:rPr>
        <w:rFonts w:ascii="Times New Roman" w:hAnsi="Times New Roman"/>
        <w:noProof/>
      </w:rPr>
      <w:fldChar w:fldCharType="end"/>
    </w:r>
  </w:p>
  <w:p w14:paraId="5807BEB6" w14:textId="77777777" w:rsidR="00895C8C" w:rsidRDefault="00B04A3B" w:rsidP="0069655E">
    <w:pPr>
      <w:pStyle w:val="Header"/>
      <w:tabs>
        <w:tab w:val="clear" w:pos="4320"/>
        <w:tab w:val="clear" w:pos="8640"/>
        <w:tab w:val="right" w:pos="9360"/>
      </w:tabs>
      <w:spacing w:after="240"/>
    </w:pPr>
    <w:r>
      <w:rPr>
        <w:rFonts w:ascii="Times New Roman" w:hAnsi="Times New Roman"/>
        <w:noProof/>
      </w:rPr>
      <w:pict w14:anchorId="22E057ED">
        <v:rect id="_x0000_i1025" alt="" style="width:468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489B"/>
    <w:multiLevelType w:val="multilevel"/>
    <w:tmpl w:val="47C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A3652"/>
    <w:multiLevelType w:val="multilevel"/>
    <w:tmpl w:val="65C0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80C11"/>
    <w:multiLevelType w:val="multilevel"/>
    <w:tmpl w:val="261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039919">
    <w:abstractNumId w:val="2"/>
  </w:num>
  <w:num w:numId="2" w16cid:durableId="360399393">
    <w:abstractNumId w:val="1"/>
  </w:num>
  <w:num w:numId="3" w16cid:durableId="19431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386"/>
    <w:rsid w:val="00003E72"/>
    <w:rsid w:val="0003331D"/>
    <w:rsid w:val="0003483E"/>
    <w:rsid w:val="000354B2"/>
    <w:rsid w:val="00044D5E"/>
    <w:rsid w:val="00052EED"/>
    <w:rsid w:val="00060195"/>
    <w:rsid w:val="00063909"/>
    <w:rsid w:val="0007421D"/>
    <w:rsid w:val="000832FE"/>
    <w:rsid w:val="000857E3"/>
    <w:rsid w:val="00085ED8"/>
    <w:rsid w:val="000A6452"/>
    <w:rsid w:val="000C6386"/>
    <w:rsid w:val="000D62D4"/>
    <w:rsid w:val="000E6A75"/>
    <w:rsid w:val="000E7DE5"/>
    <w:rsid w:val="000F305B"/>
    <w:rsid w:val="000F4ADB"/>
    <w:rsid w:val="00117F04"/>
    <w:rsid w:val="00122F2B"/>
    <w:rsid w:val="00133119"/>
    <w:rsid w:val="0013378B"/>
    <w:rsid w:val="001525C5"/>
    <w:rsid w:val="00163662"/>
    <w:rsid w:val="00164EDA"/>
    <w:rsid w:val="00170258"/>
    <w:rsid w:val="0017109D"/>
    <w:rsid w:val="0017129E"/>
    <w:rsid w:val="0018298F"/>
    <w:rsid w:val="001901C8"/>
    <w:rsid w:val="00197CB0"/>
    <w:rsid w:val="001B48B0"/>
    <w:rsid w:val="001D0B6C"/>
    <w:rsid w:val="0020387A"/>
    <w:rsid w:val="0020561F"/>
    <w:rsid w:val="002063B0"/>
    <w:rsid w:val="0021522C"/>
    <w:rsid w:val="002161AA"/>
    <w:rsid w:val="0022673B"/>
    <w:rsid w:val="0023149D"/>
    <w:rsid w:val="002407AF"/>
    <w:rsid w:val="002559B4"/>
    <w:rsid w:val="00263B23"/>
    <w:rsid w:val="00263BC2"/>
    <w:rsid w:val="002905CA"/>
    <w:rsid w:val="00291618"/>
    <w:rsid w:val="00292230"/>
    <w:rsid w:val="002B1644"/>
    <w:rsid w:val="002B392F"/>
    <w:rsid w:val="002B51A4"/>
    <w:rsid w:val="002B681B"/>
    <w:rsid w:val="002C38BA"/>
    <w:rsid w:val="002D35B8"/>
    <w:rsid w:val="002E2F65"/>
    <w:rsid w:val="002E48A5"/>
    <w:rsid w:val="002E49F1"/>
    <w:rsid w:val="002F5FD3"/>
    <w:rsid w:val="0030767D"/>
    <w:rsid w:val="00322B49"/>
    <w:rsid w:val="00334F20"/>
    <w:rsid w:val="00372EF2"/>
    <w:rsid w:val="00375B9C"/>
    <w:rsid w:val="00383DFD"/>
    <w:rsid w:val="00385F36"/>
    <w:rsid w:val="00395B7A"/>
    <w:rsid w:val="003A1BC1"/>
    <w:rsid w:val="003A5780"/>
    <w:rsid w:val="003A7563"/>
    <w:rsid w:val="003B4A38"/>
    <w:rsid w:val="003B54AB"/>
    <w:rsid w:val="003B5D85"/>
    <w:rsid w:val="003D116C"/>
    <w:rsid w:val="003D2C9E"/>
    <w:rsid w:val="003F2461"/>
    <w:rsid w:val="003F3E05"/>
    <w:rsid w:val="00402636"/>
    <w:rsid w:val="00404B3D"/>
    <w:rsid w:val="004059D6"/>
    <w:rsid w:val="00411A8C"/>
    <w:rsid w:val="00450390"/>
    <w:rsid w:val="004511C2"/>
    <w:rsid w:val="0045631A"/>
    <w:rsid w:val="00465067"/>
    <w:rsid w:val="00475B91"/>
    <w:rsid w:val="00483264"/>
    <w:rsid w:val="0049368D"/>
    <w:rsid w:val="004B6D43"/>
    <w:rsid w:val="004E2AF9"/>
    <w:rsid w:val="004E66BA"/>
    <w:rsid w:val="00512259"/>
    <w:rsid w:val="00517063"/>
    <w:rsid w:val="0052530A"/>
    <w:rsid w:val="00532A37"/>
    <w:rsid w:val="00552B68"/>
    <w:rsid w:val="00561499"/>
    <w:rsid w:val="005761CD"/>
    <w:rsid w:val="00576A4A"/>
    <w:rsid w:val="00582E9D"/>
    <w:rsid w:val="005925DB"/>
    <w:rsid w:val="00592CF9"/>
    <w:rsid w:val="00595DCE"/>
    <w:rsid w:val="005A43EC"/>
    <w:rsid w:val="005A4CB3"/>
    <w:rsid w:val="005C6EED"/>
    <w:rsid w:val="005D340A"/>
    <w:rsid w:val="005E75A3"/>
    <w:rsid w:val="005F0B8B"/>
    <w:rsid w:val="005F2BE5"/>
    <w:rsid w:val="005F6E92"/>
    <w:rsid w:val="006005A7"/>
    <w:rsid w:val="00606B25"/>
    <w:rsid w:val="00623C76"/>
    <w:rsid w:val="006256BE"/>
    <w:rsid w:val="00635C20"/>
    <w:rsid w:val="00640746"/>
    <w:rsid w:val="0066731F"/>
    <w:rsid w:val="00682F79"/>
    <w:rsid w:val="00691343"/>
    <w:rsid w:val="0069655E"/>
    <w:rsid w:val="006A0303"/>
    <w:rsid w:val="006A0BCA"/>
    <w:rsid w:val="006A3109"/>
    <w:rsid w:val="006B1E24"/>
    <w:rsid w:val="006B54B3"/>
    <w:rsid w:val="006C1E84"/>
    <w:rsid w:val="006C7AE3"/>
    <w:rsid w:val="006D2B20"/>
    <w:rsid w:val="006E4704"/>
    <w:rsid w:val="00705DEC"/>
    <w:rsid w:val="0071445E"/>
    <w:rsid w:val="00715373"/>
    <w:rsid w:val="00716FDC"/>
    <w:rsid w:val="00753A46"/>
    <w:rsid w:val="00754928"/>
    <w:rsid w:val="007615AB"/>
    <w:rsid w:val="007620FE"/>
    <w:rsid w:val="0077037B"/>
    <w:rsid w:val="00771A4E"/>
    <w:rsid w:val="00783AE6"/>
    <w:rsid w:val="0079150B"/>
    <w:rsid w:val="007A6573"/>
    <w:rsid w:val="007B1A26"/>
    <w:rsid w:val="007B4755"/>
    <w:rsid w:val="007C319A"/>
    <w:rsid w:val="007E26C2"/>
    <w:rsid w:val="007E3B40"/>
    <w:rsid w:val="007E49ED"/>
    <w:rsid w:val="007E53C4"/>
    <w:rsid w:val="007E6553"/>
    <w:rsid w:val="007F08F8"/>
    <w:rsid w:val="0080795C"/>
    <w:rsid w:val="008162DC"/>
    <w:rsid w:val="0082247D"/>
    <w:rsid w:val="00823A93"/>
    <w:rsid w:val="008334CC"/>
    <w:rsid w:val="0086037D"/>
    <w:rsid w:val="008654A1"/>
    <w:rsid w:val="00865A16"/>
    <w:rsid w:val="00867F1B"/>
    <w:rsid w:val="0087497A"/>
    <w:rsid w:val="00882A23"/>
    <w:rsid w:val="008905CC"/>
    <w:rsid w:val="008915EA"/>
    <w:rsid w:val="00891E05"/>
    <w:rsid w:val="00894067"/>
    <w:rsid w:val="00895C8C"/>
    <w:rsid w:val="008A5C19"/>
    <w:rsid w:val="008E5CAF"/>
    <w:rsid w:val="008F0737"/>
    <w:rsid w:val="008F4F42"/>
    <w:rsid w:val="00903FF7"/>
    <w:rsid w:val="00906646"/>
    <w:rsid w:val="00911172"/>
    <w:rsid w:val="00916964"/>
    <w:rsid w:val="00946386"/>
    <w:rsid w:val="00952EAC"/>
    <w:rsid w:val="00966E87"/>
    <w:rsid w:val="00977396"/>
    <w:rsid w:val="009A3410"/>
    <w:rsid w:val="009B58DD"/>
    <w:rsid w:val="009C3528"/>
    <w:rsid w:val="009D0741"/>
    <w:rsid w:val="009D2745"/>
    <w:rsid w:val="009E5498"/>
    <w:rsid w:val="009F3119"/>
    <w:rsid w:val="009F371E"/>
    <w:rsid w:val="009F4D5E"/>
    <w:rsid w:val="00A003B2"/>
    <w:rsid w:val="00A07C8A"/>
    <w:rsid w:val="00A15567"/>
    <w:rsid w:val="00A164F7"/>
    <w:rsid w:val="00A1664E"/>
    <w:rsid w:val="00A41164"/>
    <w:rsid w:val="00A52C72"/>
    <w:rsid w:val="00A5541B"/>
    <w:rsid w:val="00A74642"/>
    <w:rsid w:val="00A80198"/>
    <w:rsid w:val="00A8032A"/>
    <w:rsid w:val="00A825EE"/>
    <w:rsid w:val="00A90734"/>
    <w:rsid w:val="00AA1DC7"/>
    <w:rsid w:val="00AB78A0"/>
    <w:rsid w:val="00AC56D4"/>
    <w:rsid w:val="00AE048F"/>
    <w:rsid w:val="00AE239F"/>
    <w:rsid w:val="00AE5058"/>
    <w:rsid w:val="00AE55B2"/>
    <w:rsid w:val="00AF3222"/>
    <w:rsid w:val="00B04A3B"/>
    <w:rsid w:val="00B1576E"/>
    <w:rsid w:val="00B20093"/>
    <w:rsid w:val="00B22885"/>
    <w:rsid w:val="00B24AA9"/>
    <w:rsid w:val="00B26B11"/>
    <w:rsid w:val="00B40513"/>
    <w:rsid w:val="00B456A8"/>
    <w:rsid w:val="00B463E7"/>
    <w:rsid w:val="00B5078B"/>
    <w:rsid w:val="00B64BFC"/>
    <w:rsid w:val="00B743A5"/>
    <w:rsid w:val="00B7465C"/>
    <w:rsid w:val="00B85351"/>
    <w:rsid w:val="00B86691"/>
    <w:rsid w:val="00BA190E"/>
    <w:rsid w:val="00BA3C3E"/>
    <w:rsid w:val="00BC26CB"/>
    <w:rsid w:val="00BC6556"/>
    <w:rsid w:val="00BC7073"/>
    <w:rsid w:val="00BC72C7"/>
    <w:rsid w:val="00BC7816"/>
    <w:rsid w:val="00BC7D7C"/>
    <w:rsid w:val="00BE5CE0"/>
    <w:rsid w:val="00BF2A0E"/>
    <w:rsid w:val="00BF78EC"/>
    <w:rsid w:val="00C005A4"/>
    <w:rsid w:val="00C13E29"/>
    <w:rsid w:val="00C13E95"/>
    <w:rsid w:val="00C15FE3"/>
    <w:rsid w:val="00C44508"/>
    <w:rsid w:val="00C54FA8"/>
    <w:rsid w:val="00C6096B"/>
    <w:rsid w:val="00C76289"/>
    <w:rsid w:val="00C84DE8"/>
    <w:rsid w:val="00C96768"/>
    <w:rsid w:val="00C96FD3"/>
    <w:rsid w:val="00CA710A"/>
    <w:rsid w:val="00CB032F"/>
    <w:rsid w:val="00CB0A79"/>
    <w:rsid w:val="00CB4BD4"/>
    <w:rsid w:val="00CB7628"/>
    <w:rsid w:val="00CE32C9"/>
    <w:rsid w:val="00CE36E5"/>
    <w:rsid w:val="00CF5409"/>
    <w:rsid w:val="00CF5DC6"/>
    <w:rsid w:val="00CF7736"/>
    <w:rsid w:val="00D0641A"/>
    <w:rsid w:val="00D231CE"/>
    <w:rsid w:val="00D23606"/>
    <w:rsid w:val="00D46B70"/>
    <w:rsid w:val="00D5017B"/>
    <w:rsid w:val="00D7425B"/>
    <w:rsid w:val="00D8279F"/>
    <w:rsid w:val="00D84171"/>
    <w:rsid w:val="00D86B70"/>
    <w:rsid w:val="00D87EAD"/>
    <w:rsid w:val="00DA6E07"/>
    <w:rsid w:val="00DB6413"/>
    <w:rsid w:val="00DC3038"/>
    <w:rsid w:val="00DE2C4B"/>
    <w:rsid w:val="00DE4AC1"/>
    <w:rsid w:val="00DF2480"/>
    <w:rsid w:val="00DF2489"/>
    <w:rsid w:val="00DF3005"/>
    <w:rsid w:val="00DF42BE"/>
    <w:rsid w:val="00E02A5F"/>
    <w:rsid w:val="00E21346"/>
    <w:rsid w:val="00E47DDE"/>
    <w:rsid w:val="00E501B1"/>
    <w:rsid w:val="00E6177D"/>
    <w:rsid w:val="00E66989"/>
    <w:rsid w:val="00E73286"/>
    <w:rsid w:val="00E771E7"/>
    <w:rsid w:val="00E91721"/>
    <w:rsid w:val="00EA1D0A"/>
    <w:rsid w:val="00EC123B"/>
    <w:rsid w:val="00EC1557"/>
    <w:rsid w:val="00EC6488"/>
    <w:rsid w:val="00ED149D"/>
    <w:rsid w:val="00EE5D0E"/>
    <w:rsid w:val="00EF6B58"/>
    <w:rsid w:val="00F12F28"/>
    <w:rsid w:val="00F16A04"/>
    <w:rsid w:val="00F25D5C"/>
    <w:rsid w:val="00F27863"/>
    <w:rsid w:val="00F312E3"/>
    <w:rsid w:val="00F31514"/>
    <w:rsid w:val="00F34867"/>
    <w:rsid w:val="00F403DB"/>
    <w:rsid w:val="00F415A7"/>
    <w:rsid w:val="00F66A35"/>
    <w:rsid w:val="00F76224"/>
    <w:rsid w:val="00F80F47"/>
    <w:rsid w:val="00F92D8B"/>
    <w:rsid w:val="00FA0A75"/>
    <w:rsid w:val="00FB50C3"/>
    <w:rsid w:val="00FB6CAD"/>
    <w:rsid w:val="00FC30BF"/>
    <w:rsid w:val="00FC7514"/>
    <w:rsid w:val="00FE3844"/>
    <w:rsid w:val="00FE6C34"/>
    <w:rsid w:val="00FE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8B9C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5A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ADF"/>
    <w:pPr>
      <w:keepNext/>
      <w:widowControl w:val="0"/>
      <w:autoSpaceDE w:val="0"/>
      <w:autoSpaceDN w:val="0"/>
      <w:adjustRightInd w:val="0"/>
      <w:spacing w:line="240" w:lineRule="exact"/>
      <w:jc w:val="center"/>
      <w:outlineLvl w:val="0"/>
    </w:pPr>
    <w:rPr>
      <w:rFonts w:ascii="Times New Roman TUR" w:hAnsi="Times New Roman TUR" w:cs="Times New Roman TUR"/>
      <w:sz w:val="28"/>
      <w:szCs w:val="27"/>
    </w:rPr>
  </w:style>
  <w:style w:type="paragraph" w:styleId="Heading2">
    <w:name w:val="heading 2"/>
    <w:basedOn w:val="Normal"/>
    <w:next w:val="Normal"/>
    <w:qFormat/>
    <w:rsid w:val="00996ADF"/>
    <w:pPr>
      <w:keepNext/>
      <w:widowControl w:val="0"/>
      <w:autoSpaceDE w:val="0"/>
      <w:autoSpaceDN w:val="0"/>
      <w:adjustRightInd w:val="0"/>
      <w:spacing w:line="240" w:lineRule="exact"/>
      <w:outlineLvl w:val="1"/>
    </w:pPr>
    <w:rPr>
      <w:rFonts w:ascii="Times New Roman TUR" w:hAnsi="Times New Roman TUR" w:cs="Times New Roman TUR"/>
      <w:i/>
      <w:iCs/>
    </w:rPr>
  </w:style>
  <w:style w:type="paragraph" w:styleId="Heading3">
    <w:name w:val="heading 3"/>
    <w:basedOn w:val="Normal"/>
    <w:next w:val="Normal"/>
    <w:qFormat/>
    <w:rsid w:val="00996ADF"/>
    <w:pPr>
      <w:keepNext/>
      <w:widowControl w:val="0"/>
      <w:autoSpaceDE w:val="0"/>
      <w:autoSpaceDN w:val="0"/>
      <w:adjustRightInd w:val="0"/>
      <w:spacing w:line="240" w:lineRule="exact"/>
      <w:jc w:val="center"/>
      <w:outlineLvl w:val="2"/>
    </w:pPr>
    <w:rPr>
      <w:rFonts w:ascii="Times New Roman TUR" w:hAnsi="Times New Roman TUR" w:cs="Times New Roman TUR"/>
      <w:szCs w:val="27"/>
    </w:rPr>
  </w:style>
  <w:style w:type="paragraph" w:styleId="Heading4">
    <w:name w:val="heading 4"/>
    <w:basedOn w:val="Normal"/>
    <w:next w:val="Normal"/>
    <w:qFormat/>
    <w:rsid w:val="00996ADF"/>
    <w:pPr>
      <w:keepNext/>
      <w:widowControl w:val="0"/>
      <w:autoSpaceDE w:val="0"/>
      <w:autoSpaceDN w:val="0"/>
      <w:adjustRightInd w:val="0"/>
      <w:spacing w:line="240" w:lineRule="exact"/>
      <w:ind w:firstLine="720"/>
      <w:outlineLvl w:val="3"/>
    </w:pPr>
    <w:rPr>
      <w:rFonts w:ascii="Times New Roman TUR" w:hAnsi="Times New Roman TUR" w:cs="Times New Roman TUR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96ADF"/>
  </w:style>
  <w:style w:type="paragraph" w:styleId="BodyTextIndent">
    <w:name w:val="Body Text Indent"/>
    <w:basedOn w:val="Normal"/>
    <w:rsid w:val="00996ADF"/>
    <w:pPr>
      <w:widowControl w:val="0"/>
      <w:autoSpaceDE w:val="0"/>
      <w:autoSpaceDN w:val="0"/>
      <w:adjustRightInd w:val="0"/>
      <w:ind w:left="720"/>
    </w:pPr>
    <w:rPr>
      <w:rFonts w:ascii="Times New Roman TUR" w:hAnsi="Times New Roman TUR" w:cs="Times New Roman TUR"/>
    </w:rPr>
  </w:style>
  <w:style w:type="paragraph" w:styleId="BodyTextIndent2">
    <w:name w:val="Body Text Indent 2"/>
    <w:basedOn w:val="Normal"/>
    <w:rsid w:val="00996ADF"/>
    <w:pPr>
      <w:widowControl w:val="0"/>
      <w:autoSpaceDE w:val="0"/>
      <w:autoSpaceDN w:val="0"/>
      <w:adjustRightInd w:val="0"/>
      <w:spacing w:line="240" w:lineRule="exact"/>
      <w:ind w:left="1440"/>
    </w:pPr>
    <w:rPr>
      <w:rFonts w:cs="Times New Roman TUR"/>
    </w:rPr>
  </w:style>
  <w:style w:type="paragraph" w:styleId="Header">
    <w:name w:val="header"/>
    <w:basedOn w:val="Normal"/>
    <w:rsid w:val="00996AD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 TUR" w:hAnsi="Times New Roman TUR"/>
      <w:sz w:val="20"/>
    </w:rPr>
  </w:style>
  <w:style w:type="paragraph" w:styleId="Footer">
    <w:name w:val="footer"/>
    <w:basedOn w:val="Normal"/>
    <w:rsid w:val="00996AD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 TUR" w:hAnsi="Times New Roman TUR"/>
      <w:sz w:val="20"/>
    </w:rPr>
  </w:style>
  <w:style w:type="character" w:styleId="PageNumber">
    <w:name w:val="page number"/>
    <w:basedOn w:val="DefaultParagraphFont"/>
    <w:rsid w:val="00996ADF"/>
  </w:style>
  <w:style w:type="paragraph" w:styleId="BalloonText">
    <w:name w:val="Balloon Text"/>
    <w:basedOn w:val="Normal"/>
    <w:semiHidden/>
    <w:rsid w:val="00B678B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2022D"/>
    <w:pPr>
      <w:widowControl w:val="0"/>
      <w:autoSpaceDE w:val="0"/>
      <w:autoSpaceDN w:val="0"/>
      <w:adjustRightInd w:val="0"/>
    </w:pPr>
    <w:rPr>
      <w:rFonts w:ascii="Times New Roman TUR" w:hAnsi="Times New Roman TUR"/>
    </w:rPr>
  </w:style>
  <w:style w:type="paragraph" w:customStyle="1" w:styleId="Default">
    <w:name w:val="Default"/>
    <w:rsid w:val="00123A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ta-Title">
    <w:name w:val="rta-Title"/>
    <w:basedOn w:val="Normal"/>
    <w:next w:val="Normal"/>
    <w:qFormat/>
    <w:rsid w:val="00450390"/>
    <w:pPr>
      <w:spacing w:afterLines="60" w:after="144"/>
      <w:jc w:val="center"/>
    </w:pPr>
    <w:rPr>
      <w:rFonts w:eastAsiaTheme="minorEastAsia"/>
      <w:b/>
      <w:smallCaps/>
      <w:sz w:val="28"/>
      <w:szCs w:val="28"/>
      <w:lang w:eastAsia="ja-JP"/>
    </w:rPr>
  </w:style>
  <w:style w:type="character" w:styleId="Hyperlink">
    <w:name w:val="Hyperlink"/>
    <w:basedOn w:val="DefaultParagraphFont"/>
    <w:rsid w:val="00E732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732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3286"/>
    <w:pPr>
      <w:widowControl w:val="0"/>
      <w:autoSpaceDE w:val="0"/>
      <w:autoSpaceDN w:val="0"/>
      <w:adjustRightInd w:val="0"/>
    </w:pPr>
    <w:rPr>
      <w:rFonts w:ascii="Times New Roman TUR" w:hAnsi="Times New Roman TU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286"/>
    <w:rPr>
      <w:rFonts w:ascii="Times New Roman TUR" w:hAnsi="Times New Roman TUR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3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3286"/>
    <w:rPr>
      <w:rFonts w:ascii="Times New Roman TUR" w:hAnsi="Times New Roman TUR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905CA"/>
    <w:pPr>
      <w:widowControl w:val="0"/>
      <w:autoSpaceDE w:val="0"/>
      <w:autoSpaceDN w:val="0"/>
      <w:adjustRightInd w:val="0"/>
      <w:ind w:left="720"/>
      <w:contextualSpacing/>
    </w:pPr>
    <w:rPr>
      <w:rFonts w:ascii="Times New Roman TUR" w:hAnsi="Times New Roman TUR"/>
      <w:sz w:val="20"/>
    </w:rPr>
  </w:style>
  <w:style w:type="paragraph" w:customStyle="1" w:styleId="uwls-Title">
    <w:name w:val="uwls-Title"/>
    <w:basedOn w:val="Normal"/>
    <w:next w:val="Normal"/>
    <w:qFormat/>
    <w:rsid w:val="00CF7736"/>
    <w:pPr>
      <w:spacing w:afterLines="60" w:after="144"/>
      <w:jc w:val="center"/>
    </w:pPr>
    <w:rPr>
      <w:rFonts w:eastAsiaTheme="minorEastAsia"/>
      <w:b/>
      <w:smallCaps/>
      <w:sz w:val="28"/>
      <w:szCs w:val="28"/>
      <w:lang w:eastAsia="ja-JP"/>
    </w:rPr>
  </w:style>
  <w:style w:type="character" w:customStyle="1" w:styleId="apple-converted-space">
    <w:name w:val="apple-converted-space"/>
    <w:basedOn w:val="DefaultParagraphFont"/>
    <w:rsid w:val="0017129E"/>
  </w:style>
  <w:style w:type="character" w:styleId="Emphasis">
    <w:name w:val="Emphasis"/>
    <w:basedOn w:val="DefaultParagraphFont"/>
    <w:uiPriority w:val="20"/>
    <w:qFormat/>
    <w:rsid w:val="00085E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34CC"/>
    <w:pPr>
      <w:spacing w:before="100" w:beforeAutospacing="1" w:after="100" w:afterAutospacing="1"/>
    </w:pPr>
  </w:style>
  <w:style w:type="paragraph" w:customStyle="1" w:styleId="ArticleTitle">
    <w:name w:val="_ArticleTitle"/>
    <w:basedOn w:val="Normal"/>
    <w:next w:val="Normal"/>
    <w:qFormat/>
    <w:rsid w:val="00A52C72"/>
    <w:pPr>
      <w:keepNext/>
      <w:keepLines/>
      <w:suppressAutoHyphens/>
      <w:spacing w:before="240" w:after="240"/>
      <w:contextualSpacing/>
      <w:jc w:val="both"/>
    </w:pPr>
    <w:rPr>
      <w:rFonts w:ascii="Times New Roman Bold" w:hAnsi="Times New Roman Bold"/>
      <w:b/>
      <w:kern w:val="28"/>
      <w:sz w:val="3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248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36" w:space="4" w:color="B5C4DF"/>
                <w:bottom w:val="none" w:sz="0" w:space="0" w:color="auto"/>
                <w:right w:val="none" w:sz="0" w:space="0" w:color="auto"/>
              </w:divBdr>
              <w:divsChild>
                <w:div w:id="54594500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4" w:color="B5C4DF"/>
                    <w:bottom w:val="none" w:sz="0" w:space="0" w:color="auto"/>
                    <w:right w:val="none" w:sz="0" w:space="0" w:color="auto"/>
                  </w:divBdr>
                  <w:divsChild>
                    <w:div w:id="20299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3A13543-26B6-DD42-B237-5B6C09CF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T</vt:lpstr>
    </vt:vector>
  </TitlesOfParts>
  <Company>University of Washington School of Law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T</dc:title>
  <dc:creator>Robert Anderson</dc:creator>
  <cp:lastModifiedBy>Stuart, Alaina</cp:lastModifiedBy>
  <cp:revision>2</cp:revision>
  <cp:lastPrinted>2021-03-01T16:41:00Z</cp:lastPrinted>
  <dcterms:created xsi:type="dcterms:W3CDTF">2025-07-07T20:17:00Z</dcterms:created>
  <dcterms:modified xsi:type="dcterms:W3CDTF">2025-07-07T20:17:00Z</dcterms:modified>
</cp:coreProperties>
</file>